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4467"/>
        <w:gridCol w:w="1234"/>
        <w:gridCol w:w="568"/>
        <w:gridCol w:w="2095"/>
        <w:gridCol w:w="850"/>
        <w:gridCol w:w="1425"/>
      </w:tblGrid>
      <w:tr w:rsidR="00E501AB" w:rsidTr="00AC09D4">
        <w:trPr>
          <w:cantSplit/>
          <w:trHeight w:val="1709"/>
        </w:trPr>
        <w:tc>
          <w:tcPr>
            <w:tcW w:w="283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4467" w:type="dxa"/>
          </w:tcPr>
          <w:p w:rsidR="00E501AB" w:rsidRDefault="00E501AB">
            <w:pPr>
              <w:framePr w:w="9270" w:hSpace="150" w:wrap="notBeside" w:vAnchor="page" w:hAnchor="page" w:x="1051" w:y="1036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</w:t>
            </w:r>
            <w:r w:rsidR="0041761B">
              <w:rPr>
                <w:rFonts w:ascii="Arial" w:hAnsi="Arial" w:cs="Arial"/>
                <w:b/>
                <w:sz w:val="28"/>
              </w:rPr>
              <w:t>ie</w:t>
            </w:r>
            <w:r>
              <w:rPr>
                <w:rFonts w:ascii="Arial" w:hAnsi="Arial" w:cs="Arial"/>
                <w:b/>
                <w:sz w:val="28"/>
              </w:rPr>
              <w:t xml:space="preserve"> Ministerpräsident</w:t>
            </w:r>
            <w:r w:rsidR="0041761B">
              <w:rPr>
                <w:rFonts w:ascii="Arial" w:hAnsi="Arial" w:cs="Arial"/>
                <w:b/>
                <w:sz w:val="28"/>
              </w:rPr>
              <w:t>in</w:t>
            </w:r>
          </w:p>
          <w:p w:rsidR="00E501AB" w:rsidRDefault="00E501AB">
            <w:pPr>
              <w:framePr w:w="9270" w:hSpace="150" w:wrap="notBeside" w:vAnchor="page" w:hAnchor="page" w:x="1051" w:y="1036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 Landes</w:t>
            </w:r>
          </w:p>
          <w:p w:rsidR="00E501AB" w:rsidRDefault="00E501AB">
            <w:pPr>
              <w:framePr w:w="9270" w:hSpace="150" w:wrap="notBeside" w:vAnchor="page" w:hAnchor="page" w:x="1051" w:y="1036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Mecklenburg-Vorpommern</w:t>
            </w:r>
          </w:p>
          <w:p w:rsidR="00E501AB" w:rsidRDefault="00E501AB">
            <w:pPr>
              <w:framePr w:w="9270" w:hSpace="150" w:wrap="notBeside" w:vAnchor="page" w:hAnchor="page" w:x="1051" w:y="1036"/>
              <w:jc w:val="center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  <w:b/>
                <w:sz w:val="28"/>
              </w:rPr>
              <w:t>– Staatskanzlei –</w:t>
            </w:r>
          </w:p>
        </w:tc>
        <w:tc>
          <w:tcPr>
            <w:tcW w:w="1802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4366" w:type="dxa"/>
            <w:gridSpan w:val="3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4276" w:dyaOrig="4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6.35pt" o:ole="">
                  <v:imagedata r:id="rId8" o:title=""/>
                </v:shape>
                <o:OLEObject Type="Embed" ProgID="PBrush" ShapeID="_x0000_i1025" DrawAspect="Content" ObjectID="_1661673124" r:id="rId9">
                  <o:FieldCodes>\s \* MERGEFORMAT</o:FieldCodes>
                </o:OLEObject>
              </w:object>
            </w:r>
          </w:p>
        </w:tc>
      </w:tr>
      <w:tr w:rsidR="00E501AB" w:rsidTr="00AC09D4">
        <w:trPr>
          <w:cantSplit/>
          <w:trHeight w:val="356"/>
        </w:trPr>
        <w:tc>
          <w:tcPr>
            <w:tcW w:w="283" w:type="dxa"/>
          </w:tcPr>
          <w:p w:rsidR="00E501AB" w:rsidRDefault="0031758C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147320</wp:posOffset>
                      </wp:positionV>
                      <wp:extent cx="635" cy="71755"/>
                      <wp:effectExtent l="0" t="0" r="0" b="0"/>
                      <wp:wrapNone/>
                      <wp:docPr id="8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717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932D8" id="Line 1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1.6pt" to="235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147955</wp:posOffset>
                      </wp:positionV>
                      <wp:extent cx="71755" cy="635"/>
                      <wp:effectExtent l="0" t="0" r="0" b="0"/>
                      <wp:wrapNone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1B619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1.65pt" to="235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147320</wp:posOffset>
                      </wp:positionV>
                      <wp:extent cx="635" cy="71755"/>
                      <wp:effectExtent l="0" t="0" r="0" b="0"/>
                      <wp:wrapNone/>
                      <wp:docPr id="6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717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6E543" id="Line 1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11.6pt" to="14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147955</wp:posOffset>
                      </wp:positionV>
                      <wp:extent cx="71755" cy="635"/>
                      <wp:effectExtent l="0" t="0" r="0" b="0"/>
                      <wp:wrapNone/>
                      <wp:docPr id="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3DF747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11.65pt" to="20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467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6168" w:type="dxa"/>
            <w:gridSpan w:val="5"/>
            <w:vMerge w:val="restart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</w:tr>
      <w:tr w:rsidR="00E501AB" w:rsidTr="00AC09D4">
        <w:trPr>
          <w:cantSplit/>
          <w:trHeight w:val="242"/>
        </w:trPr>
        <w:tc>
          <w:tcPr>
            <w:tcW w:w="283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</w:p>
        </w:tc>
        <w:tc>
          <w:tcPr>
            <w:tcW w:w="4467" w:type="dxa"/>
            <w:tcBorders>
              <w:bottom w:val="single" w:sz="4" w:space="0" w:color="auto"/>
            </w:tcBorders>
          </w:tcPr>
          <w:p w:rsidR="00E501AB" w:rsidRDefault="00E501AB">
            <w:pPr>
              <w:framePr w:w="9270" w:hSpace="150" w:wrap="notBeside" w:vAnchor="page" w:hAnchor="page" w:x="1051" w:y="1036"/>
              <w:jc w:val="center"/>
              <w:rPr>
                <w:rFonts w:ascii="Arial" w:hAnsi="Arial" w:cs="Arial"/>
                <w:spacing w:val="5"/>
                <w:sz w:val="12"/>
              </w:rPr>
            </w:pPr>
            <w:r>
              <w:rPr>
                <w:rFonts w:ascii="Arial" w:hAnsi="Arial" w:cs="Arial"/>
                <w:spacing w:val="5"/>
                <w:sz w:val="12"/>
              </w:rPr>
              <w:t>Staatskanzlei, 19048 Schwerin</w:t>
            </w:r>
          </w:p>
        </w:tc>
        <w:tc>
          <w:tcPr>
            <w:tcW w:w="6168" w:type="dxa"/>
            <w:gridSpan w:val="5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</w:p>
        </w:tc>
      </w:tr>
      <w:tr w:rsidR="00E501AB" w:rsidTr="00AC09D4">
        <w:trPr>
          <w:cantSplit/>
          <w:trHeight w:val="227"/>
        </w:trPr>
        <w:tc>
          <w:tcPr>
            <w:tcW w:w="283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</w:p>
        </w:tc>
        <w:tc>
          <w:tcPr>
            <w:tcW w:w="4467" w:type="dxa"/>
            <w:vMerge w:val="restart"/>
            <w:tcBorders>
              <w:top w:val="single" w:sz="4" w:space="0" w:color="auto"/>
            </w:tcBorders>
          </w:tcPr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pacing w:val="5"/>
                <w:sz w:val="22"/>
              </w:rPr>
              <w:t xml:space="preserve">Finanzministerium </w:t>
            </w:r>
          </w:p>
          <w:p w:rsidR="00E501AB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pacing w:val="5"/>
                <w:sz w:val="22"/>
              </w:rPr>
              <w:t>Mecklenburg-Vorpommern</w:t>
            </w: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pacing w:val="5"/>
                <w:sz w:val="22"/>
              </w:rPr>
              <w:t>IV 190</w:t>
            </w:r>
            <w:r w:rsidR="00F51C45">
              <w:rPr>
                <w:rFonts w:ascii="Arial" w:hAnsi="Arial" w:cs="Arial"/>
                <w:spacing w:val="5"/>
                <w:sz w:val="22"/>
              </w:rPr>
              <w:t xml:space="preserve"> / IV 250</w:t>
            </w: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pacing w:val="5"/>
                <w:sz w:val="22"/>
              </w:rPr>
              <w:t>Nachrichtlich:</w:t>
            </w: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pacing w:val="5"/>
                <w:sz w:val="22"/>
              </w:rPr>
              <w:t>Landesamt für Finanzen</w:t>
            </w: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pacing w:val="5"/>
                <w:sz w:val="22"/>
              </w:rPr>
              <w:t>Abteilung Bezüge</w:t>
            </w: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pacing w:val="5"/>
                <w:sz w:val="22"/>
              </w:rPr>
              <w:t>Ministerium für Inneres und Europa</w:t>
            </w: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  <w:r>
              <w:rPr>
                <w:rFonts w:ascii="Arial" w:hAnsi="Arial" w:cs="Arial"/>
                <w:spacing w:val="5"/>
                <w:sz w:val="22"/>
              </w:rPr>
              <w:t>Kommunalabteilung</w:t>
            </w: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Pr="00AD6272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b/>
                <w:spacing w:val="5"/>
                <w:sz w:val="22"/>
              </w:rPr>
            </w:pPr>
            <w:r w:rsidRPr="00AD6272">
              <w:rPr>
                <w:rFonts w:ascii="Arial" w:hAnsi="Arial" w:cs="Arial"/>
                <w:b/>
                <w:spacing w:val="5"/>
                <w:sz w:val="22"/>
              </w:rPr>
              <w:t>Nur per E-Mail</w:t>
            </w: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  <w:p w:rsidR="00AC09D4" w:rsidRDefault="00AC09D4">
            <w:pPr>
              <w:framePr w:w="9270" w:hSpace="150" w:wrap="notBeside" w:vAnchor="page" w:hAnchor="page" w:x="1051" w:y="1036"/>
              <w:rPr>
                <w:rFonts w:ascii="Arial" w:hAnsi="Arial" w:cs="Arial"/>
                <w:spacing w:val="5"/>
                <w:sz w:val="22"/>
              </w:rPr>
            </w:pPr>
          </w:p>
        </w:tc>
        <w:tc>
          <w:tcPr>
            <w:tcW w:w="6168" w:type="dxa"/>
            <w:gridSpan w:val="5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b/>
                <w:sz w:val="16"/>
              </w:rPr>
            </w:pPr>
          </w:p>
        </w:tc>
      </w:tr>
      <w:tr w:rsidR="00E501AB" w:rsidTr="00AC09D4">
        <w:trPr>
          <w:cantSplit/>
          <w:trHeight w:hRule="exact" w:val="363"/>
        </w:trPr>
        <w:tc>
          <w:tcPr>
            <w:tcW w:w="283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4467" w:type="dxa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6168" w:type="dxa"/>
            <w:gridSpan w:val="5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b/>
                <w:sz w:val="16"/>
              </w:rPr>
            </w:pPr>
          </w:p>
        </w:tc>
      </w:tr>
      <w:tr w:rsidR="00E501AB" w:rsidTr="00AC09D4">
        <w:trPr>
          <w:cantSplit/>
          <w:trHeight w:hRule="exact" w:val="363"/>
        </w:trPr>
        <w:tc>
          <w:tcPr>
            <w:tcW w:w="283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4467" w:type="dxa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2663" w:type="dxa"/>
            <w:gridSpan w:val="2"/>
          </w:tcPr>
          <w:p w:rsidR="00E501AB" w:rsidRDefault="00E501AB" w:rsidP="00AC09D4">
            <w:pPr>
              <w:ind w:right="-421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Datum:</w:t>
            </w:r>
            <w:r w:rsidR="00AC09D4">
              <w:rPr>
                <w:rFonts w:ascii="Arial" w:hAnsi="Arial" w:cs="Arial"/>
                <w:b/>
                <w:bCs/>
                <w:sz w:val="16"/>
              </w:rPr>
              <w:t xml:space="preserve"> 14.</w:t>
            </w:r>
            <w:r w:rsidR="0028120C">
              <w:rPr>
                <w:rFonts w:ascii="Arial" w:hAnsi="Arial" w:cs="Arial"/>
                <w:b/>
                <w:bCs/>
                <w:sz w:val="16"/>
              </w:rPr>
              <w:t>0</w:t>
            </w:r>
            <w:r w:rsidR="00AC09D4">
              <w:rPr>
                <w:rFonts w:ascii="Arial" w:hAnsi="Arial" w:cs="Arial"/>
                <w:b/>
                <w:bCs/>
                <w:sz w:val="16"/>
              </w:rPr>
              <w:t>9.2020</w:t>
            </w:r>
          </w:p>
        </w:tc>
        <w:tc>
          <w:tcPr>
            <w:tcW w:w="2275" w:type="dxa"/>
            <w:gridSpan w:val="2"/>
          </w:tcPr>
          <w:p w:rsidR="00E501AB" w:rsidRDefault="00E501AB" w:rsidP="00AC09D4">
            <w:pPr>
              <w:framePr w:w="9270" w:hSpace="150" w:wrap="notBeside" w:vAnchor="page" w:hAnchor="page" w:x="1051" w:y="1036"/>
              <w:ind w:left="371"/>
              <w:rPr>
                <w:rFonts w:ascii="Arial" w:hAnsi="Arial" w:cs="Arial"/>
                <w:sz w:val="16"/>
              </w:rPr>
            </w:pPr>
          </w:p>
        </w:tc>
      </w:tr>
      <w:tr w:rsidR="00E501AB" w:rsidTr="00AC09D4">
        <w:trPr>
          <w:cantSplit/>
          <w:trHeight w:hRule="exact" w:val="363"/>
        </w:trPr>
        <w:tc>
          <w:tcPr>
            <w:tcW w:w="283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4467" w:type="dxa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2663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Bearbeiter:</w:t>
            </w:r>
            <w:r w:rsidR="00114571">
              <w:rPr>
                <w:rFonts w:ascii="Arial" w:hAnsi="Arial" w:cs="Arial"/>
                <w:sz w:val="16"/>
              </w:rPr>
              <w:t xml:space="preserve"> </w:t>
            </w:r>
            <w:r w:rsidR="00CE07E9">
              <w:rPr>
                <w:rFonts w:ascii="Arial" w:hAnsi="Arial" w:cs="Arial"/>
                <w:sz w:val="16"/>
              </w:rPr>
              <w:t xml:space="preserve">Jürgen Günther / </w:t>
            </w:r>
            <w:r w:rsidR="00114571">
              <w:rPr>
                <w:rFonts w:ascii="Arial" w:hAnsi="Arial" w:cs="Arial"/>
                <w:sz w:val="16"/>
              </w:rPr>
              <w:t>Erik Sieverkropp</w:t>
            </w:r>
          </w:p>
        </w:tc>
        <w:tc>
          <w:tcPr>
            <w:tcW w:w="2275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</w:p>
        </w:tc>
      </w:tr>
      <w:tr w:rsidR="00E501AB" w:rsidTr="00AC09D4">
        <w:trPr>
          <w:cantSplit/>
          <w:trHeight w:hRule="exact" w:val="363"/>
        </w:trPr>
        <w:tc>
          <w:tcPr>
            <w:tcW w:w="283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4467" w:type="dxa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2663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Telefon:</w:t>
            </w:r>
            <w:r w:rsidR="00114571">
              <w:rPr>
                <w:rFonts w:ascii="Arial" w:hAnsi="Arial" w:cs="Arial"/>
                <w:sz w:val="16"/>
              </w:rPr>
              <w:t xml:space="preserve"> 0385-588-10134</w:t>
            </w:r>
          </w:p>
        </w:tc>
        <w:tc>
          <w:tcPr>
            <w:tcW w:w="2275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</w:p>
        </w:tc>
      </w:tr>
      <w:tr w:rsidR="00E501AB" w:rsidTr="00AC09D4">
        <w:trPr>
          <w:cantSplit/>
          <w:trHeight w:hRule="exact" w:val="363"/>
        </w:trPr>
        <w:tc>
          <w:tcPr>
            <w:tcW w:w="283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4467" w:type="dxa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2663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Telefax:</w:t>
            </w:r>
            <w:r w:rsidR="00AC09D4">
              <w:rPr>
                <w:rFonts w:ascii="Arial" w:hAnsi="Arial" w:cs="Arial"/>
                <w:sz w:val="16"/>
              </w:rPr>
              <w:t xml:space="preserve"> -</w:t>
            </w:r>
          </w:p>
        </w:tc>
        <w:tc>
          <w:tcPr>
            <w:tcW w:w="2275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</w:p>
        </w:tc>
      </w:tr>
      <w:tr w:rsidR="00E501AB" w:rsidTr="00AC09D4">
        <w:trPr>
          <w:cantSplit/>
          <w:trHeight w:hRule="exact" w:val="363"/>
        </w:trPr>
        <w:tc>
          <w:tcPr>
            <w:tcW w:w="283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4467" w:type="dxa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2663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E-Mail</w:t>
            </w:r>
            <w:r>
              <w:rPr>
                <w:rFonts w:ascii="Arial" w:hAnsi="Arial" w:cs="Arial"/>
                <w:sz w:val="16"/>
              </w:rPr>
              <w:t>:</w:t>
            </w:r>
            <w:r w:rsidR="00114571">
              <w:rPr>
                <w:rFonts w:ascii="Arial" w:hAnsi="Arial" w:cs="Arial"/>
                <w:sz w:val="16"/>
              </w:rPr>
              <w:t xml:space="preserve"> erik.sieverkropp</w:t>
            </w:r>
            <w:r w:rsidR="00AC09D4">
              <w:rPr>
                <w:rFonts w:ascii="Arial" w:hAnsi="Arial" w:cs="Arial"/>
                <w:sz w:val="16"/>
              </w:rPr>
              <w:t>@stk.mv-regierung.de</w:t>
            </w:r>
          </w:p>
        </w:tc>
        <w:tc>
          <w:tcPr>
            <w:tcW w:w="2275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2"/>
              </w:rPr>
            </w:pPr>
          </w:p>
        </w:tc>
      </w:tr>
      <w:tr w:rsidR="00E501AB" w:rsidTr="00AC09D4">
        <w:trPr>
          <w:cantSplit/>
          <w:trHeight w:hRule="exact" w:val="363"/>
        </w:trPr>
        <w:tc>
          <w:tcPr>
            <w:tcW w:w="283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4467" w:type="dxa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2663" w:type="dxa"/>
            <w:gridSpan w:val="2"/>
          </w:tcPr>
          <w:p w:rsidR="00AC09D4" w:rsidRDefault="00AC09D4">
            <w:pPr>
              <w:framePr w:w="9270" w:hSpace="150" w:wrap="notBeside" w:vAnchor="page" w:hAnchor="page" w:x="1051" w:y="1036"/>
              <w:rPr>
                <w:rFonts w:ascii="Arial" w:eastAsia="Arial Unicode MS" w:hAnsi="Arial" w:cs="Arial"/>
                <w:sz w:val="16"/>
              </w:rPr>
            </w:pPr>
          </w:p>
          <w:p w:rsidR="00E501AB" w:rsidRDefault="00E501AB" w:rsidP="00791F35">
            <w:pPr>
              <w:framePr w:w="9270" w:hSpace="150" w:wrap="notBeside" w:vAnchor="page" w:hAnchor="page" w:x="1051" w:y="1036"/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eastAsia="Arial Unicode MS" w:hAnsi="Arial" w:cs="Arial"/>
                <w:sz w:val="16"/>
              </w:rPr>
              <w:t>Az:</w:t>
            </w:r>
            <w:r w:rsidR="00AC09D4">
              <w:t xml:space="preserve"> </w:t>
            </w:r>
            <w:r w:rsidR="00791F35" w:rsidRPr="00791F35">
              <w:rPr>
                <w:rFonts w:ascii="Arial" w:eastAsia="Arial Unicode MS" w:hAnsi="Arial" w:cs="Arial"/>
                <w:sz w:val="16"/>
              </w:rPr>
              <w:t>I-P 1512-00000-2020/001</w:t>
            </w:r>
          </w:p>
        </w:tc>
        <w:tc>
          <w:tcPr>
            <w:tcW w:w="2275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eastAsia="Arial Unicode MS" w:hAnsi="Arial" w:cs="Arial"/>
                <w:sz w:val="16"/>
              </w:rPr>
            </w:pPr>
          </w:p>
        </w:tc>
      </w:tr>
      <w:tr w:rsidR="00E501AB" w:rsidTr="00AC09D4">
        <w:trPr>
          <w:cantSplit/>
          <w:trHeight w:hRule="exact" w:val="363"/>
        </w:trPr>
        <w:tc>
          <w:tcPr>
            <w:tcW w:w="283" w:type="dxa"/>
          </w:tcPr>
          <w:p w:rsidR="00E501AB" w:rsidRDefault="0031758C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180340</wp:posOffset>
                      </wp:positionV>
                      <wp:extent cx="71755" cy="635"/>
                      <wp:effectExtent l="0" t="0" r="0" b="0"/>
                      <wp:wrapNone/>
                      <wp:docPr id="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9DA02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pt,14.2pt" to="233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2977515</wp:posOffset>
                      </wp:positionH>
                      <wp:positionV relativeFrom="paragraph">
                        <wp:posOffset>107950</wp:posOffset>
                      </wp:positionV>
                      <wp:extent cx="635" cy="71755"/>
                      <wp:effectExtent l="0" t="0" r="0" b="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717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BED035" id="Line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8.5pt" to="234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107950</wp:posOffset>
                      </wp:positionV>
                      <wp:extent cx="635" cy="71755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717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CB328" id="Line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8.5pt" to="14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467" w:type="dxa"/>
            <w:vMerge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1802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2945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</w:rPr>
            </w:pPr>
          </w:p>
        </w:tc>
        <w:tc>
          <w:tcPr>
            <w:tcW w:w="1421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b/>
                <w:sz w:val="16"/>
              </w:rPr>
            </w:pPr>
          </w:p>
        </w:tc>
      </w:tr>
      <w:tr w:rsidR="00E501AB" w:rsidTr="00AC09D4">
        <w:trPr>
          <w:cantSplit/>
          <w:trHeight w:val="242"/>
        </w:trPr>
        <w:tc>
          <w:tcPr>
            <w:tcW w:w="283" w:type="dxa"/>
          </w:tcPr>
          <w:p w:rsidR="00E501AB" w:rsidRDefault="0031758C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0</wp:posOffset>
                      </wp:positionV>
                      <wp:extent cx="71755" cy="635"/>
                      <wp:effectExtent l="0" t="0" r="0" b="0"/>
                      <wp:wrapNone/>
                      <wp:docPr id="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755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836595"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0" to="19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" o:allowincell="f" strokeweight=".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467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</w:p>
        </w:tc>
        <w:tc>
          <w:tcPr>
            <w:tcW w:w="1802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</w:p>
        </w:tc>
        <w:tc>
          <w:tcPr>
            <w:tcW w:w="2945" w:type="dxa"/>
            <w:gridSpan w:val="2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</w:p>
        </w:tc>
        <w:tc>
          <w:tcPr>
            <w:tcW w:w="1421" w:type="dxa"/>
          </w:tcPr>
          <w:p w:rsidR="00E501AB" w:rsidRDefault="00E501AB">
            <w:pPr>
              <w:framePr w:w="9270" w:hSpace="150" w:wrap="notBeside" w:vAnchor="page" w:hAnchor="page" w:x="1051" w:y="1036"/>
              <w:rPr>
                <w:rFonts w:ascii="Arial" w:hAnsi="Arial" w:cs="Arial"/>
                <w:sz w:val="16"/>
              </w:rPr>
            </w:pPr>
          </w:p>
        </w:tc>
      </w:tr>
    </w:tbl>
    <w:p w:rsidR="00E501AB" w:rsidRDefault="00E501AB">
      <w:pPr>
        <w:rPr>
          <w:rFonts w:ascii="Arial" w:hAnsi="Arial" w:cs="Arial"/>
          <w:sz w:val="16"/>
        </w:rPr>
      </w:pPr>
    </w:p>
    <w:bookmarkStart w:id="0" w:name="_MON_1062565846"/>
    <w:bookmarkEnd w:id="0"/>
    <w:p w:rsidR="00E501AB" w:rsidRDefault="00E501AB">
      <w:pPr>
        <w:framePr w:h="6067" w:hRule="exact" w:hSpace="142" w:wrap="around" w:vAnchor="page" w:hAnchor="page" w:x="353" w:y="5955" w:anchorLock="1"/>
      </w:pPr>
      <w:r>
        <w:object w:dxaOrig="187" w:dyaOrig="5969">
          <v:shape id="_x0000_i1026" type="#_x0000_t75" style="width:5pt;height:275.5pt" o:ole="">
            <v:imagedata r:id="rId10" o:title=""/>
          </v:shape>
          <o:OLEObject Type="Embed" ProgID="Word.Picture.8" ShapeID="_x0000_i1026" DrawAspect="Content" ObjectID="_1661673125" r:id="rId11"/>
        </w:object>
      </w:r>
    </w:p>
    <w:p w:rsidR="00E501AB" w:rsidRDefault="00E501AB">
      <w:pPr>
        <w:pStyle w:val="Kopfzeile"/>
        <w:widowControl w:val="0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217229" w:rsidRDefault="0021722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b/>
          <w:sz w:val="22"/>
          <w:szCs w:val="22"/>
          <w:lang w:eastAsia="en-US"/>
        </w:rPr>
      </w:pPr>
      <w:r w:rsidRPr="00AD6272">
        <w:rPr>
          <w:rFonts w:ascii="Arial" w:eastAsia="Calibri" w:hAnsi="Arial"/>
          <w:b/>
          <w:sz w:val="22"/>
          <w:szCs w:val="22"/>
          <w:lang w:eastAsia="en-US"/>
        </w:rPr>
        <w:t>Umsetzung der Entscheidung des Bundesverfassungsgerichts vom 4. Mai 2020 (Az.: 2 BvL 6/17) zur Alimentation von Empfängerinnen und Empfängern von Dienstbezügen mit drei und mehr Kindern</w:t>
      </w:r>
    </w:p>
    <w:p w:rsidR="00AD6272" w:rsidRPr="00AD6272" w:rsidRDefault="00791F35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>
        <w:rPr>
          <w:rFonts w:ascii="Arial" w:eastAsia="Calibri" w:hAnsi="Arial"/>
          <w:sz w:val="22"/>
          <w:szCs w:val="22"/>
          <w:lang w:eastAsia="en-US"/>
        </w:rPr>
        <w:t>Hier: Anwendung des § 29</w:t>
      </w:r>
      <w:r w:rsidR="00AD6272" w:rsidRPr="00AD6272">
        <w:rPr>
          <w:rFonts w:ascii="Arial" w:eastAsia="Calibri" w:hAnsi="Arial"/>
          <w:sz w:val="22"/>
          <w:szCs w:val="22"/>
          <w:lang w:eastAsia="en-US"/>
        </w:rPr>
        <w:t>a des Landesbesoldungsgesetzes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Anlagen: - 3</w:t>
      </w:r>
      <w:r w:rsidR="00266BBF">
        <w:rPr>
          <w:rFonts w:ascii="Arial" w:eastAsia="Calibri" w:hAnsi="Arial"/>
          <w:sz w:val="22"/>
          <w:szCs w:val="22"/>
          <w:lang w:eastAsia="en-US"/>
        </w:rPr>
        <w:t xml:space="preserve"> Tabellen</w:t>
      </w:r>
      <w:r>
        <w:rPr>
          <w:rFonts w:ascii="Arial" w:eastAsia="Calibri" w:hAnsi="Arial"/>
          <w:sz w:val="22"/>
          <w:szCs w:val="22"/>
          <w:lang w:eastAsia="en-US"/>
        </w:rPr>
        <w:t xml:space="preserve"> -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Mit o.a. Entscheidung hat das Bundesverfassungsgericht seine bisherigen Vorgaben zur Überprü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fung der Amtsangemessenheit der Alimentation von Empfängerinnen und Empfän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gern von Dienst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bezügen mit drei und mehr berücksichtigungsfähigen Kindern weiterentwi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ckelt und an die zwi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schenzeitlich veränderten gesetzlichen Rahmenbedingungen angepasst.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Das Bundesverfassungsgericht geht bezogen auf die streitgegenständliche Rechtslage in Nord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rhein-Westfalen davon aus, dass die Grundbesoldung so bemessen ist, dass sie zu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sammen mit den Familienzuschlägen den Bedarf einer „Zwei-Kinder-Familie“ deckt. Der zu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sätzliche Bedarf, der durch dritte und weitere Kinder entsteht, ist vom Dienstherrn aus der ihn treffenden Alimentations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verpflichtung zu decken.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Ein entsprechender Befund ergibt sich auch für die Rechtslage in Mecklenburg-Vorpommern.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Ob dieser Bedarf ausreichend Berücksichtigung findet, beurteilt sich anhand eines Ver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gleichs mit den Leistungen der sozialen Grundsicherung. Dabei ist zu beachten, dass die Ali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mentation qualita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tiv etwas Anderes ist als die Deckung eines äußersten Mindestbedarfs. Ein um 15 Prozent über dem realitätsgerecht ermittelten grundsicherungsrechtlichen Gesamtbe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darf eines Kindes liegender Betrag lässt diesen Unterschied hinreichend deutlich werden.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lastRenderedPageBreak/>
        <w:t>Die Angemessenheit der Dienstbezüge beurteilt sich nach dem Nettoeinkommen.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Entsprechende Vorgaben haben mit Inkrafttreten des § 29a des Lan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 xml:space="preserve">desbesoldungsgesetzes (LBesG M-V) zum 30. November 2019 in Mecklenburg-Vorpommern für die Empfängerinnen und Empfänger von Dienstbezügen Gesetzeskraft erlangt. 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Bisherige Unklarheiten bei der Anwendung der Norm mit Blick auf die zwischenzeitlich ver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änderten gesetzlichen Rahmen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bedingungen werden durch die neuen Vorgaben des Bundes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verfassungsge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richts zur Be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rechnung des Grundsicherungsniveaus für drei und mehr Kinder beseitigt.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Zur Umsetzung der o. a. Entscheidung des Bundesverfassungsgerichts gebe ich daher in den An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lagen </w:t>
      </w:r>
      <w:r w:rsidR="00266BBF">
        <w:rPr>
          <w:rFonts w:ascii="Arial" w:eastAsia="Calibri" w:hAnsi="Arial"/>
          <w:sz w:val="22"/>
          <w:szCs w:val="22"/>
          <w:lang w:eastAsia="en-US"/>
        </w:rPr>
        <w:t xml:space="preserve">(Tabellen </w:t>
      </w:r>
      <w:r w:rsidRPr="00AD6272">
        <w:rPr>
          <w:rFonts w:ascii="Arial" w:eastAsia="Calibri" w:hAnsi="Arial"/>
          <w:sz w:val="22"/>
          <w:szCs w:val="22"/>
          <w:lang w:eastAsia="en-US"/>
        </w:rPr>
        <w:t>1 bis 3</w:t>
      </w:r>
      <w:r w:rsidR="00266BBF">
        <w:rPr>
          <w:rFonts w:ascii="Arial" w:eastAsia="Calibri" w:hAnsi="Arial"/>
          <w:sz w:val="22"/>
          <w:szCs w:val="22"/>
          <w:lang w:eastAsia="en-US"/>
        </w:rPr>
        <w:t>)</w:t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 die sich so für Mecklenburg-Vorpommern ab dem 30. November 2019 er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gebenden zusätzlichen monatlichen Zuschlagsbe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träge für Empfängerinnen und Empfänger von Dienstbezü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gen, die für dritte und weitere Kinder kinderbezogene Anteile des Familienzu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schlags nach § 40 Ab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satz 2 des Besoldungsüberleitungsfassungsgesetzes (BBesÜFG M-V) beziehen, bekannt.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114571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Je nach Kinderzahl, Besoldungsgruppe und Zeitraum bewirkt der in den Anlagen 1 bis 3 aus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gewie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sene jeweilige Brutto-Betrag die Wahrung des erforderlichen Mindestabstands der Ali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mentation für dritte und weitere im Familienzuschlag berücksichtigungsfähige Kinder in Höhe von 15 Prozent über dem sozialhilferechtlichen Gesamtbedarf für dritte und weitere Kinder.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 xml:space="preserve">Gleichzeitig erteile ich für die in 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Anlage 1 (</w:t>
      </w:r>
      <w:r w:rsidR="00266BBF">
        <w:rPr>
          <w:rFonts w:ascii="Arial" w:eastAsia="Calibri" w:hAnsi="Arial"/>
          <w:sz w:val="22"/>
          <w:szCs w:val="22"/>
          <w:lang w:eastAsia="en-US"/>
        </w:rPr>
        <w:t xml:space="preserve">Tabelle </w:t>
      </w:r>
      <w:r w:rsidRPr="00AD6272">
        <w:rPr>
          <w:rFonts w:ascii="Arial" w:eastAsia="Calibri" w:hAnsi="Arial"/>
          <w:sz w:val="22"/>
          <w:szCs w:val="22"/>
          <w:lang w:eastAsia="en-US"/>
        </w:rPr>
        <w:t>für den 30. November 2019),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Anlage 2 (</w:t>
      </w:r>
      <w:r w:rsidR="00266BBF">
        <w:rPr>
          <w:rFonts w:ascii="Arial" w:eastAsia="Calibri" w:hAnsi="Arial"/>
          <w:sz w:val="22"/>
          <w:szCs w:val="22"/>
          <w:lang w:eastAsia="en-US"/>
        </w:rPr>
        <w:t xml:space="preserve">Tabelle </w:t>
      </w:r>
      <w:r w:rsidRPr="00AD6272">
        <w:rPr>
          <w:rFonts w:ascii="Arial" w:eastAsia="Calibri" w:hAnsi="Arial"/>
          <w:sz w:val="22"/>
          <w:szCs w:val="22"/>
          <w:lang w:eastAsia="en-US"/>
        </w:rPr>
        <w:t>für den Monat Dezember 2019) sowie in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Anlage 3 (</w:t>
      </w:r>
      <w:r w:rsidR="00266BBF">
        <w:rPr>
          <w:rFonts w:ascii="Arial" w:eastAsia="Calibri" w:hAnsi="Arial"/>
          <w:sz w:val="22"/>
          <w:szCs w:val="22"/>
          <w:lang w:eastAsia="en-US"/>
        </w:rPr>
        <w:t xml:space="preserve">Tabelle </w:t>
      </w:r>
      <w:r w:rsidRPr="00AD6272">
        <w:rPr>
          <w:rFonts w:ascii="Arial" w:eastAsia="Calibri" w:hAnsi="Arial"/>
          <w:sz w:val="22"/>
          <w:szCs w:val="22"/>
          <w:lang w:eastAsia="en-US"/>
        </w:rPr>
        <w:t>für die Monate Januar bis Dezember 2020)</w:t>
      </w:r>
      <w:bookmarkStart w:id="1" w:name="_GoBack"/>
      <w:bookmarkEnd w:id="1"/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aufgeführten Beträge mein Einvernehmen für die Zahlbarmachung (§ 29a Absatz 2 LBesG M-V).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Die jeweiligen Zuschlagsbeträge zum sozialhilferechtlichen Gesamtbedarf eines Kindes und d</w:t>
      </w:r>
      <w:r w:rsidR="00791F35">
        <w:rPr>
          <w:rFonts w:ascii="Arial" w:eastAsia="Calibri" w:hAnsi="Arial"/>
          <w:sz w:val="22"/>
          <w:szCs w:val="22"/>
          <w:lang w:eastAsia="en-US"/>
        </w:rPr>
        <w:t>ie</w:t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 dementspreche</w:t>
      </w:r>
      <w:r w:rsidR="00791F35">
        <w:rPr>
          <w:rFonts w:ascii="Arial" w:eastAsia="Calibri" w:hAnsi="Arial"/>
          <w:sz w:val="22"/>
          <w:szCs w:val="22"/>
          <w:lang w:eastAsia="en-US"/>
        </w:rPr>
        <w:t>nd auszugleichenden Fehlbedarfe</w:t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 für Beamtenfamilien mit drei oder mehr Kindern wurden anhand der Vorgaben des Bundesverfassungsgerichts und dem dar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aus wie folgt hier grob skizzierten Rechenweg (Schema) ermittelt: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 xml:space="preserve">Schritt A: 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Ermittlung des sozialhilferechtlichen Gesamtbedarfs eines Kindes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418" w:hanging="28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 xml:space="preserve">1. 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Ermittlung des nach Lebensjahren gewichteten Regelsatzes der Stufen 4 bis 6 eines minderjährigen Kindes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418" w:hanging="28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 xml:space="preserve">2. 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Ermittlung der Differenz der Kaltmiete für 15 qm Wohnfläche zwischen einem 4- und 5-Personen-Haushalt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418" w:hanging="28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3.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Ermittlung der Heizkosten für den (zusätzlichen) Wohnbedarf eines Kindes auf 15 qm Wohnfläche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418" w:hanging="28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 xml:space="preserve">4. 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Ermittlung der pauschalierbaren, nach Lebensjahren gewichteten Leistungen für Bil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dung und Teilhabe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 xml:space="preserve">Schritt B: 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Feststellung von 115 Prozent des sozialhilferechtlichen Gesamtbedarfs eines Kindes (aus Schritt A)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lastRenderedPageBreak/>
        <w:t>Schritt C: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Ermittlung des Bruttojahreseinkommens einer vierköpfigen Beamtenfamilie (2 Er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wach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sene und 2 Kinder)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Schritt D: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Berechnung des Nettojahreseinkommens / des verfügbaren Jahreseinkommens einer vierköpfigen Beamtenfamilie (2 Erwachsene und 2 Kinder)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Schritt E: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Berechnung des Nettoeinkommens / des verfügbaren Jahreseinkommens einer Beam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tenfamilie mit einer höheren Kinderzahl (2 Erwachsene und 3 bis 7 Kinder) in entspre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chender Anwendung der Vorgehensweise unter </w:t>
      </w:r>
      <w:r w:rsidR="00791F35">
        <w:rPr>
          <w:rFonts w:ascii="Arial" w:eastAsia="Calibri" w:hAnsi="Arial"/>
          <w:sz w:val="22"/>
          <w:szCs w:val="22"/>
          <w:lang w:eastAsia="en-US"/>
        </w:rPr>
        <w:t>C</w:t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 bis D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Schritt F: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Gegenüberstellung des verfügbaren Jahreseinkommens einer vierköpfigen Be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amtenfa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="005F6865">
        <w:rPr>
          <w:rFonts w:ascii="Arial" w:eastAsia="Calibri" w:hAnsi="Arial"/>
          <w:sz w:val="22"/>
          <w:szCs w:val="22"/>
          <w:lang w:eastAsia="en-US"/>
        </w:rPr>
        <w:t>milie (2 Erwachsene und</w:t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 2 Kinder) mit demjenigen einer größeren Beam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tenfamilie (2 Er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wachsene und 3 bis 7 Kinder)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Schritt G: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 xml:space="preserve">Feststellung des Netto-Fehlbedarfs (im gesamten Jahr) durch Vergleich des aus der Einkommensdifferenz der </w:t>
      </w:r>
      <w:r w:rsidR="00CE07E9">
        <w:rPr>
          <w:rFonts w:ascii="Arial" w:eastAsia="Calibri" w:hAnsi="Arial"/>
          <w:sz w:val="22"/>
          <w:szCs w:val="22"/>
          <w:lang w:eastAsia="en-US"/>
        </w:rPr>
        <w:t xml:space="preserve">vierköpfigen </w:t>
      </w:r>
      <w:r w:rsidR="00BB7864">
        <w:rPr>
          <w:rFonts w:ascii="Arial" w:eastAsia="Calibri" w:hAnsi="Arial"/>
          <w:sz w:val="22"/>
          <w:szCs w:val="22"/>
          <w:lang w:eastAsia="en-US"/>
        </w:rPr>
        <w:t>Beamtenfamilie</w:t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 (aus Schritt </w:t>
      </w:r>
      <w:r w:rsidR="00F51C45">
        <w:rPr>
          <w:rFonts w:ascii="Arial" w:eastAsia="Calibri" w:hAnsi="Arial"/>
          <w:sz w:val="22"/>
          <w:szCs w:val="22"/>
          <w:lang w:eastAsia="en-US"/>
        </w:rPr>
        <w:t>F</w:t>
      </w:r>
      <w:r w:rsidRPr="00AD6272">
        <w:rPr>
          <w:rFonts w:ascii="Arial" w:eastAsia="Calibri" w:hAnsi="Arial"/>
          <w:sz w:val="22"/>
          <w:szCs w:val="22"/>
          <w:lang w:eastAsia="en-US"/>
        </w:rPr>
        <w:t>) resultierenden Ein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kommens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vorsprungs der größeren Beamtenfamilie mit 115 Prozent des sozialhil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ferechtlichen Ge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samtbedarfes der Kinder 3 bis 7 über das gesamte Jahr 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Schritt H: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Aufstockung des Netto-Fehlbedarfs um die hinzukommende Steuerbelastung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Schritt I: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  <w:t>Monatliche Tabellenwerte in Höhe von einem Zwölftel des aufgestockten Brutto-Fehlbe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darfs </w:t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  <w:r w:rsidRPr="00AD6272">
        <w:rPr>
          <w:rFonts w:ascii="Arial" w:eastAsia="Calibri" w:hAnsi="Arial"/>
          <w:sz w:val="22"/>
          <w:szCs w:val="22"/>
          <w:lang w:eastAsia="en-US"/>
        </w:rPr>
        <w:tab/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ind w:left="1134" w:hanging="1134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Darüber hinaus gebe ich zur Zahlbarmachung folgende Hinweise:</w:t>
      </w:r>
    </w:p>
    <w:p w:rsid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F51C45" w:rsidRDefault="00F51C45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F51C45">
        <w:rPr>
          <w:rFonts w:ascii="Arial" w:eastAsia="Calibri" w:hAnsi="Arial"/>
          <w:sz w:val="22"/>
          <w:szCs w:val="22"/>
          <w:lang w:eastAsia="en-US"/>
        </w:rPr>
        <w:t>Sollte die Anzahl der Kinder, für die der kindbezogene Anteil des Familienzuschlags tatsächlich gewährt wird (</w:t>
      </w:r>
      <w:r w:rsidRPr="00F51C45">
        <w:rPr>
          <w:rFonts w:ascii="Arial" w:eastAsia="Calibri" w:hAnsi="Arial"/>
          <w:b/>
          <w:sz w:val="22"/>
          <w:szCs w:val="22"/>
          <w:u w:val="single"/>
          <w:lang w:eastAsia="en-US"/>
        </w:rPr>
        <w:t>Zahl</w:t>
      </w:r>
      <w:r w:rsidRPr="00F51C45">
        <w:rPr>
          <w:rFonts w:ascii="Arial" w:eastAsia="Calibri" w:hAnsi="Arial"/>
          <w:sz w:val="22"/>
          <w:szCs w:val="22"/>
          <w:lang w:eastAsia="en-US"/>
        </w:rPr>
        <w:t xml:space="preserve">kinder) von der Anzahl der Kinder abweichen, für die nur dem Grunde nach ein Familienzuschlag zusteht, dieser jedoch aufgrund von Konkurrenzvorschriften </w:t>
      </w:r>
      <w:r>
        <w:rPr>
          <w:rFonts w:ascii="Arial" w:eastAsia="Calibri" w:hAnsi="Arial"/>
          <w:sz w:val="22"/>
          <w:szCs w:val="22"/>
          <w:lang w:eastAsia="en-US"/>
        </w:rPr>
        <w:t xml:space="preserve">nicht </w:t>
      </w:r>
      <w:r w:rsidRPr="00F51C45">
        <w:rPr>
          <w:rFonts w:ascii="Arial" w:eastAsia="Calibri" w:hAnsi="Arial"/>
          <w:sz w:val="22"/>
          <w:szCs w:val="22"/>
          <w:lang w:eastAsia="en-US"/>
        </w:rPr>
        <w:t>zur Auszahlung gebracht wird (</w:t>
      </w:r>
      <w:r w:rsidRPr="00F51C45">
        <w:rPr>
          <w:rFonts w:ascii="Arial" w:eastAsia="Calibri" w:hAnsi="Arial"/>
          <w:b/>
          <w:sz w:val="22"/>
          <w:szCs w:val="22"/>
          <w:u w:val="single"/>
          <w:lang w:eastAsia="en-US"/>
        </w:rPr>
        <w:t>Zähl</w:t>
      </w:r>
      <w:r w:rsidRPr="00F51C45">
        <w:rPr>
          <w:rFonts w:ascii="Arial" w:eastAsia="Calibri" w:hAnsi="Arial"/>
          <w:sz w:val="22"/>
          <w:szCs w:val="22"/>
          <w:lang w:eastAsia="en-US"/>
        </w:rPr>
        <w:t xml:space="preserve">kinder), </w:t>
      </w:r>
      <w:r>
        <w:rPr>
          <w:rFonts w:ascii="Arial" w:eastAsia="Calibri" w:hAnsi="Arial"/>
          <w:sz w:val="22"/>
          <w:szCs w:val="22"/>
          <w:lang w:eastAsia="en-US"/>
        </w:rPr>
        <w:t>sind</w:t>
      </w:r>
      <w:r w:rsidRPr="00F51C45">
        <w:rPr>
          <w:rFonts w:ascii="Arial" w:eastAsia="Calibri" w:hAnsi="Arial"/>
          <w:sz w:val="22"/>
          <w:szCs w:val="22"/>
          <w:lang w:eastAsia="en-US"/>
        </w:rPr>
        <w:t xml:space="preserve"> aus </w:t>
      </w:r>
      <w:r>
        <w:rPr>
          <w:rFonts w:ascii="Arial" w:eastAsia="Calibri" w:hAnsi="Arial"/>
          <w:sz w:val="22"/>
          <w:szCs w:val="22"/>
          <w:lang w:eastAsia="en-US"/>
        </w:rPr>
        <w:t xml:space="preserve">den Tabellen (Anlagen 1 bis 3) die Werte der Spalten heranzuziehen, die der Anzahl der </w:t>
      </w:r>
      <w:r w:rsidRPr="00F51C45">
        <w:rPr>
          <w:rFonts w:ascii="Arial" w:eastAsia="Calibri" w:hAnsi="Arial"/>
          <w:b/>
          <w:sz w:val="22"/>
          <w:szCs w:val="22"/>
          <w:u w:val="single"/>
          <w:lang w:eastAsia="en-US"/>
        </w:rPr>
        <w:t>Zahl</w:t>
      </w:r>
      <w:r>
        <w:rPr>
          <w:rFonts w:ascii="Arial" w:eastAsia="Calibri" w:hAnsi="Arial"/>
          <w:sz w:val="22"/>
          <w:szCs w:val="22"/>
          <w:lang w:eastAsia="en-US"/>
        </w:rPr>
        <w:t>kinder entspricht.</w:t>
      </w:r>
    </w:p>
    <w:p w:rsidR="00F51C45" w:rsidRPr="00AD6272" w:rsidRDefault="00F51C45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 xml:space="preserve">Steht der Zuschlagsbetrag nicht für einen vollen Monat zu, wird nur der Teil gezahlt, der auf den Anspruchszeitraum entfällt (§ 3 Absatz 4 </w:t>
      </w:r>
      <w:r w:rsidR="0028120C">
        <w:rPr>
          <w:rFonts w:ascii="Arial" w:eastAsia="Calibri" w:hAnsi="Arial"/>
          <w:sz w:val="22"/>
          <w:szCs w:val="22"/>
          <w:lang w:eastAsia="en-US"/>
        </w:rPr>
        <w:t>BBesÜFG M-V</w:t>
      </w:r>
      <w:r w:rsidRPr="00AD6272">
        <w:rPr>
          <w:rFonts w:ascii="Arial" w:eastAsia="Calibri" w:hAnsi="Arial"/>
          <w:sz w:val="22"/>
          <w:szCs w:val="22"/>
          <w:lang w:eastAsia="en-US"/>
        </w:rPr>
        <w:t>).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Bei Teilzeitbeschäftigung wird der Zuschlagsbetrag im gleichen Verhältnis wie die Arbeitszeit ge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kürzt (§ 6 Absatz 1 </w:t>
      </w:r>
      <w:r w:rsidR="0028120C" w:rsidRPr="00AD6272">
        <w:rPr>
          <w:rFonts w:ascii="Arial" w:eastAsia="Calibri" w:hAnsi="Arial"/>
          <w:sz w:val="22"/>
          <w:szCs w:val="22"/>
          <w:lang w:eastAsia="en-US"/>
        </w:rPr>
        <w:t>BBesÜFG M-V</w:t>
      </w:r>
      <w:r w:rsidRPr="00AD6272">
        <w:rPr>
          <w:rFonts w:ascii="Arial" w:eastAsia="Calibri" w:hAnsi="Arial"/>
          <w:sz w:val="22"/>
          <w:szCs w:val="22"/>
          <w:lang w:eastAsia="en-US"/>
        </w:rPr>
        <w:t>).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Der Zuschlagsbetrag findet bei der Berechnung der jährlichen Sonderzahlung („Weihnachts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 xml:space="preserve">geld“) keine Berücksichtigung (vgl. §§ 6 bis 8 </w:t>
      </w:r>
      <w:r w:rsidR="0028120C">
        <w:rPr>
          <w:rFonts w:ascii="Arial" w:eastAsia="Calibri" w:hAnsi="Arial"/>
          <w:sz w:val="22"/>
          <w:szCs w:val="22"/>
          <w:lang w:eastAsia="en-US"/>
        </w:rPr>
        <w:t xml:space="preserve">des </w:t>
      </w:r>
      <w:r w:rsidRPr="00AD6272">
        <w:rPr>
          <w:rFonts w:ascii="Arial" w:eastAsia="Calibri" w:hAnsi="Arial"/>
          <w:sz w:val="22"/>
          <w:szCs w:val="22"/>
          <w:lang w:eastAsia="en-US"/>
        </w:rPr>
        <w:t>Sonderzahlungsgesetz</w:t>
      </w:r>
      <w:r w:rsidR="0028120C">
        <w:rPr>
          <w:rFonts w:ascii="Arial" w:eastAsia="Calibri" w:hAnsi="Arial"/>
          <w:sz w:val="22"/>
          <w:szCs w:val="22"/>
          <w:lang w:eastAsia="en-US"/>
        </w:rPr>
        <w:t>es</w:t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 Mecklenburg-Vorpom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mern).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Den sonstigen zum Geltungsbereich des Landesbesoldun</w:t>
      </w:r>
      <w:r w:rsidR="0028120C">
        <w:rPr>
          <w:rFonts w:ascii="Arial" w:eastAsia="Calibri" w:hAnsi="Arial"/>
          <w:sz w:val="22"/>
          <w:szCs w:val="22"/>
          <w:lang w:eastAsia="en-US"/>
        </w:rPr>
        <w:t>gsgesetzes gehörenden Diensther</w:t>
      </w:r>
      <w:r w:rsidRPr="00AD6272">
        <w:rPr>
          <w:rFonts w:ascii="Arial" w:eastAsia="Calibri" w:hAnsi="Arial"/>
          <w:sz w:val="22"/>
          <w:szCs w:val="22"/>
          <w:lang w:eastAsia="en-US"/>
        </w:rPr>
        <w:t>ren wird empfohlen, entsprechend zu verfahren.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Soweit im Einzelfall höhere Kosten geltend gemacht werden sollten, bitte ich um entspre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chenden Bericht. Gleiches gilt, soweit Berechnungen für Familien mit mehr als 7 Kindern er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forderlich wer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den. 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lastRenderedPageBreak/>
        <w:t>Soweit Empfängerinnen und Empfänger von Dienstbezügen einen Anspruch auf Erhöhung der Be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züge für dritte und weitere Kinder für einen vor dem 30. November 2019 liegenden Zeitraum haus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>haltsnah geltend gemacht haben, über den noch nicht abschließend entschie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den wurde, ist eine rückwirkende Behebung im laufenden Gesetzgebungsvorhaben zur Neu</w:t>
      </w:r>
      <w:r w:rsidRPr="00AD6272">
        <w:rPr>
          <w:rFonts w:ascii="Arial" w:eastAsia="Calibri" w:hAnsi="Arial"/>
          <w:sz w:val="22"/>
          <w:szCs w:val="22"/>
          <w:lang w:eastAsia="en-US"/>
        </w:rPr>
        <w:softHyphen/>
        <w:t>regelung des Besoldungs</w:t>
      </w:r>
      <w:r>
        <w:rPr>
          <w:rFonts w:ascii="Arial" w:eastAsia="Calibri" w:hAnsi="Arial"/>
          <w:sz w:val="22"/>
          <w:szCs w:val="22"/>
          <w:lang w:eastAsia="en-US"/>
        </w:rPr>
        <w:softHyphen/>
      </w:r>
      <w:r w:rsidRPr="00AD6272">
        <w:rPr>
          <w:rFonts w:ascii="Arial" w:eastAsia="Calibri" w:hAnsi="Arial"/>
          <w:sz w:val="22"/>
          <w:szCs w:val="22"/>
          <w:lang w:eastAsia="en-US"/>
        </w:rPr>
        <w:t xml:space="preserve">rechts beabsichtigt.  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Der Erlass wird im Amtsblatt Mecklenburg-Vorpommern bekannt gemacht.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Im Auftrag</w:t>
      </w: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</w:p>
    <w:p w:rsidR="00AD6272" w:rsidRPr="00AD6272" w:rsidRDefault="00AD6272" w:rsidP="00AD6272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/>
          <w:sz w:val="22"/>
          <w:szCs w:val="22"/>
          <w:lang w:eastAsia="en-US"/>
        </w:rPr>
      </w:pPr>
      <w:r w:rsidRPr="00AD6272">
        <w:rPr>
          <w:rFonts w:ascii="Arial" w:eastAsia="Calibri" w:hAnsi="Arial"/>
          <w:sz w:val="22"/>
          <w:szCs w:val="22"/>
          <w:lang w:eastAsia="en-US"/>
        </w:rPr>
        <w:t>Gez. Wilfried Petermann</w:t>
      </w:r>
    </w:p>
    <w:p w:rsidR="00E501AB" w:rsidRDefault="00E501AB">
      <w:pPr>
        <w:jc w:val="both"/>
        <w:rPr>
          <w:rFonts w:ascii="Arial" w:hAnsi="Arial" w:cs="Arial"/>
          <w:sz w:val="22"/>
        </w:rPr>
      </w:pPr>
    </w:p>
    <w:p w:rsidR="00E501AB" w:rsidRDefault="00E501AB">
      <w:pPr>
        <w:jc w:val="both"/>
        <w:rPr>
          <w:rFonts w:ascii="Arial" w:hAnsi="Arial" w:cs="Arial"/>
          <w:sz w:val="22"/>
        </w:rPr>
      </w:pPr>
    </w:p>
    <w:sectPr w:rsidR="00E501AB" w:rsidSect="00AD627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850" w:bottom="998" w:left="1361" w:header="720" w:footer="3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9D4" w:rsidRDefault="00AC09D4">
      <w:r>
        <w:separator/>
      </w:r>
    </w:p>
  </w:endnote>
  <w:endnote w:type="continuationSeparator" w:id="0">
    <w:p w:rsidR="00AC09D4" w:rsidRDefault="00AC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AB" w:rsidRDefault="00E501AB">
    <w:pPr>
      <w:pStyle w:val="Fuzeile"/>
      <w:jc w:val="center"/>
      <w:rPr>
        <w:sz w:val="16"/>
      </w:rPr>
    </w:pPr>
    <w:r>
      <w:rPr>
        <w:sz w:val="16"/>
      </w:rPr>
      <w:t xml:space="preserve">-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66BBF">
      <w:rPr>
        <w:rStyle w:val="Seitenzahl"/>
        <w:noProof/>
        <w:sz w:val="16"/>
      </w:rPr>
      <w:t>4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29" w:rsidRPr="00217229" w:rsidRDefault="00217229">
    <w:pPr>
      <w:rPr>
        <w:sz w:val="14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70"/>
      <w:gridCol w:w="709"/>
      <w:gridCol w:w="3691"/>
    </w:tblGrid>
    <w:tr w:rsidR="00217229" w:rsidTr="00217229">
      <w:trPr>
        <w:cantSplit/>
      </w:trPr>
      <w:tc>
        <w:tcPr>
          <w:tcW w:w="4470" w:type="dxa"/>
          <w:vMerge w:val="restart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Hausanschrift:</w:t>
          </w:r>
        </w:p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</w:t>
          </w:r>
          <w:r w:rsidR="0041761B">
            <w:rPr>
              <w:rFonts w:ascii="Arial" w:hAnsi="Arial" w:cs="Arial"/>
              <w:sz w:val="14"/>
            </w:rPr>
            <w:t>ie</w:t>
          </w:r>
          <w:r>
            <w:rPr>
              <w:rFonts w:ascii="Arial" w:hAnsi="Arial" w:cs="Arial"/>
              <w:sz w:val="14"/>
            </w:rPr>
            <w:t xml:space="preserve"> Ministerpräsident</w:t>
          </w:r>
          <w:r w:rsidR="0041761B">
            <w:rPr>
              <w:rFonts w:ascii="Arial" w:hAnsi="Arial" w:cs="Arial"/>
              <w:sz w:val="14"/>
            </w:rPr>
            <w:t>in</w:t>
          </w:r>
        </w:p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des Landes Mecklenburg-Vorpommern</w:t>
          </w:r>
        </w:p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- Staatskanzlei –</w:t>
          </w:r>
        </w:p>
        <w:p w:rsidR="00217229" w:rsidRDefault="00217229" w:rsidP="00217229">
          <w:pPr>
            <w:rPr>
              <w:rFonts w:ascii="Arial" w:hAnsi="Arial" w:cs="Arial"/>
              <w:sz w:val="14"/>
            </w:rPr>
          </w:pPr>
          <w:proofErr w:type="spellStart"/>
          <w:r>
            <w:rPr>
              <w:rFonts w:ascii="Arial" w:hAnsi="Arial" w:cs="Arial"/>
              <w:sz w:val="14"/>
            </w:rPr>
            <w:t>Schloßstraße</w:t>
          </w:r>
          <w:proofErr w:type="spellEnd"/>
          <w:r>
            <w:rPr>
              <w:rFonts w:ascii="Arial" w:hAnsi="Arial" w:cs="Arial"/>
              <w:sz w:val="14"/>
            </w:rPr>
            <w:t xml:space="preserve"> 2-4, 19053 Schwerin</w:t>
          </w:r>
        </w:p>
      </w:tc>
      <w:tc>
        <w:tcPr>
          <w:tcW w:w="709" w:type="dxa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</w:p>
      </w:tc>
      <w:tc>
        <w:tcPr>
          <w:tcW w:w="3691" w:type="dxa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</w:p>
      </w:tc>
    </w:tr>
    <w:tr w:rsidR="00217229" w:rsidTr="00217229">
      <w:trPr>
        <w:cantSplit/>
      </w:trPr>
      <w:tc>
        <w:tcPr>
          <w:tcW w:w="4470" w:type="dxa"/>
          <w:vMerge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</w:p>
      </w:tc>
      <w:tc>
        <w:tcPr>
          <w:tcW w:w="709" w:type="dxa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Telefon:</w:t>
          </w:r>
        </w:p>
      </w:tc>
      <w:tc>
        <w:tcPr>
          <w:tcW w:w="3691" w:type="dxa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(03 85) 5 88-0</w:t>
          </w:r>
        </w:p>
      </w:tc>
    </w:tr>
    <w:tr w:rsidR="00217229" w:rsidTr="00217229">
      <w:trPr>
        <w:cantSplit/>
      </w:trPr>
      <w:tc>
        <w:tcPr>
          <w:tcW w:w="4470" w:type="dxa"/>
          <w:vMerge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</w:p>
      </w:tc>
      <w:tc>
        <w:tcPr>
          <w:tcW w:w="709" w:type="dxa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Telefax:</w:t>
          </w:r>
        </w:p>
      </w:tc>
      <w:tc>
        <w:tcPr>
          <w:tcW w:w="3691" w:type="dxa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(03 85) 565144</w:t>
          </w:r>
        </w:p>
      </w:tc>
    </w:tr>
    <w:tr w:rsidR="00217229" w:rsidTr="00217229">
      <w:trPr>
        <w:cantSplit/>
      </w:trPr>
      <w:tc>
        <w:tcPr>
          <w:tcW w:w="4470" w:type="dxa"/>
          <w:vMerge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</w:p>
      </w:tc>
      <w:tc>
        <w:tcPr>
          <w:tcW w:w="709" w:type="dxa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E-Mail:</w:t>
          </w:r>
        </w:p>
      </w:tc>
      <w:tc>
        <w:tcPr>
          <w:tcW w:w="3691" w:type="dxa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poststelle@stk.mv-regierung.de</w:t>
          </w:r>
        </w:p>
      </w:tc>
    </w:tr>
    <w:tr w:rsidR="00217229" w:rsidTr="00217229">
      <w:trPr>
        <w:cantSplit/>
      </w:trPr>
      <w:tc>
        <w:tcPr>
          <w:tcW w:w="4470" w:type="dxa"/>
          <w:vMerge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</w:p>
      </w:tc>
      <w:tc>
        <w:tcPr>
          <w:tcW w:w="709" w:type="dxa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Internet:</w:t>
          </w:r>
        </w:p>
      </w:tc>
      <w:tc>
        <w:tcPr>
          <w:tcW w:w="3691" w:type="dxa"/>
        </w:tcPr>
        <w:p w:rsidR="00217229" w:rsidRDefault="00217229" w:rsidP="00217229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www.mv-regierung.de</w:t>
          </w:r>
        </w:p>
      </w:tc>
    </w:tr>
  </w:tbl>
  <w:p w:rsidR="00217229" w:rsidRPr="00217229" w:rsidRDefault="00217229">
    <w:pPr>
      <w:pStyle w:val="Fuzei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9D4" w:rsidRDefault="00AC09D4">
      <w:r>
        <w:separator/>
      </w:r>
    </w:p>
  </w:footnote>
  <w:footnote w:type="continuationSeparator" w:id="0">
    <w:p w:rsidR="00AC09D4" w:rsidRDefault="00AC0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441893"/>
      <w:docPartObj>
        <w:docPartGallery w:val="Page Numbers (Top of Page)"/>
        <w:docPartUnique/>
      </w:docPartObj>
    </w:sdtPr>
    <w:sdtEndPr/>
    <w:sdtContent>
      <w:p w:rsidR="00AD6272" w:rsidRDefault="00AD627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BF">
          <w:rPr>
            <w:noProof/>
          </w:rPr>
          <w:t>4</w:t>
        </w:r>
        <w:r>
          <w:fldChar w:fldCharType="end"/>
        </w:r>
      </w:p>
    </w:sdtContent>
  </w:sdt>
  <w:p w:rsidR="00AD6272" w:rsidRDefault="00AD62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72" w:rsidRDefault="00AD6272">
    <w:pPr>
      <w:pStyle w:val="Kopfzeile"/>
      <w:jc w:val="right"/>
    </w:pPr>
  </w:p>
  <w:p w:rsidR="00AD6272" w:rsidRDefault="00AD62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DEB"/>
    <w:multiLevelType w:val="hybridMultilevel"/>
    <w:tmpl w:val="CC4E6E08"/>
    <w:lvl w:ilvl="0" w:tplc="04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FBB0A32"/>
    <w:multiLevelType w:val="hybridMultilevel"/>
    <w:tmpl w:val="44C46FD8"/>
    <w:lvl w:ilvl="0" w:tplc="1666BD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GrammaticalErrors/>
  <w:activeWritingStyle w:appName="MSWord" w:lang="de-DE" w:vendorID="9" w:dllVersion="512" w:checkStyle="1"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D4"/>
    <w:rsid w:val="00114571"/>
    <w:rsid w:val="00217229"/>
    <w:rsid w:val="00266BBF"/>
    <w:rsid w:val="0028120C"/>
    <w:rsid w:val="0031758C"/>
    <w:rsid w:val="0041761B"/>
    <w:rsid w:val="005F6865"/>
    <w:rsid w:val="00791F35"/>
    <w:rsid w:val="00AC09D4"/>
    <w:rsid w:val="00AD6272"/>
    <w:rsid w:val="00BB7864"/>
    <w:rsid w:val="00C67A46"/>
    <w:rsid w:val="00CE07E9"/>
    <w:rsid w:val="00E148A7"/>
    <w:rsid w:val="00E501AB"/>
    <w:rsid w:val="00F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6739939"/>
  <w15:chartTrackingRefBased/>
  <w15:docId w15:val="{01452754-AF4A-4182-8FF4-76F4E486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framePr w:w="9259" w:hSpace="142" w:wrap="notBeside" w:vAnchor="page" w:hAnchor="page" w:x="1134" w:y="1007"/>
      <w:outlineLvl w:val="1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FFFFFF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17229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AD62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Wappen_BB_ST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7D20-AFA5-4503-B658-6B5FA5DB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Wappen_BB_STK.dotx</Template>
  <TotalTime>0</TotalTime>
  <Pages>4</Pages>
  <Words>953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Staatskanzlei</vt:lpstr>
    </vt:vector>
  </TitlesOfParts>
  <Company>Staatskanzelei M-V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Staatskanzlei</dc:title>
  <dc:subject/>
  <dc:creator>petermannw</dc:creator>
  <cp:keywords/>
  <cp:lastModifiedBy>petermannw</cp:lastModifiedBy>
  <cp:revision>5</cp:revision>
  <cp:lastPrinted>2002-01-24T08:54:00Z</cp:lastPrinted>
  <dcterms:created xsi:type="dcterms:W3CDTF">2020-09-14T06:26:00Z</dcterms:created>
  <dcterms:modified xsi:type="dcterms:W3CDTF">2020-09-15T09:06:00Z</dcterms:modified>
</cp:coreProperties>
</file>