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D6F044" w14:textId="77777777" w:rsidR="00B35F25" w:rsidRPr="00BF1421" w:rsidRDefault="00B35F25" w:rsidP="00B35F25">
      <w:pPr>
        <w:spacing w:after="40" w:line="240" w:lineRule="auto"/>
        <w:jc w:val="center"/>
        <w:rPr>
          <w:rFonts w:ascii="Myriad Pro" w:eastAsia="Calibri" w:hAnsi="Myriad Pro" w:cs="Arial"/>
          <w:b/>
          <w:color w:val="287DA8"/>
          <w:sz w:val="28"/>
          <w:szCs w:val="28"/>
        </w:rPr>
      </w:pPr>
      <w:r w:rsidRPr="00BF1421">
        <w:rPr>
          <w:rFonts w:ascii="Myriad Pro" w:eastAsia="Calibri" w:hAnsi="Myriad Pro" w:cs="Arial"/>
          <w:b/>
          <w:color w:val="287DA8"/>
          <w:sz w:val="28"/>
          <w:szCs w:val="28"/>
        </w:rPr>
        <w:t>Management enge Kont</w:t>
      </w:r>
      <w:r w:rsidR="00734519" w:rsidRPr="00BF1421">
        <w:rPr>
          <w:rFonts w:ascii="Myriad Pro" w:eastAsia="Calibri" w:hAnsi="Myriad Pro" w:cs="Arial"/>
          <w:b/>
          <w:color w:val="287DA8"/>
          <w:sz w:val="28"/>
          <w:szCs w:val="28"/>
        </w:rPr>
        <w:t>aktpersonen (KP) in Kindertagesstätten</w:t>
      </w:r>
    </w:p>
    <w:p w14:paraId="4CCC1ED1" w14:textId="77777777" w:rsidR="00B35F25" w:rsidRPr="00BF1421" w:rsidRDefault="00B35F25" w:rsidP="00094E79">
      <w:pPr>
        <w:spacing w:after="0" w:line="240" w:lineRule="auto"/>
        <w:jc w:val="center"/>
        <w:rPr>
          <w:rFonts w:ascii="Myriad Pro" w:eastAsia="Calibri" w:hAnsi="Myriad Pro" w:cs="Arial"/>
          <w:sz w:val="24"/>
          <w:szCs w:val="24"/>
        </w:rPr>
      </w:pPr>
      <w:r w:rsidRPr="00BF1421">
        <w:rPr>
          <w:rFonts w:ascii="Myriad Pro" w:eastAsia="Calibri" w:hAnsi="Myriad Pro" w:cs="Arial"/>
          <w:b/>
          <w:color w:val="287DA8"/>
          <w:sz w:val="24"/>
          <w:szCs w:val="24"/>
        </w:rPr>
        <w:t>Entscheidungsgrundlage für den Öffentlichen Gesundheitsdienst</w:t>
      </w:r>
    </w:p>
    <w:tbl>
      <w:tblPr>
        <w:tblStyle w:val="Tabellenraster"/>
        <w:tblpPr w:leftFromText="141" w:rightFromText="141" w:vertAnchor="text" w:tblpY="1"/>
        <w:tblOverlap w:val="never"/>
        <w:tblW w:w="15304" w:type="dxa"/>
        <w:tblLook w:val="04A0" w:firstRow="1" w:lastRow="0" w:firstColumn="1" w:lastColumn="0" w:noHBand="0" w:noVBand="1"/>
      </w:tblPr>
      <w:tblGrid>
        <w:gridCol w:w="2286"/>
        <w:gridCol w:w="13018"/>
      </w:tblGrid>
      <w:tr w:rsidR="00B35F25" w:rsidRPr="00C14210" w14:paraId="642C0D4A" w14:textId="77777777" w:rsidTr="00E96F2C">
        <w:trPr>
          <w:trHeight w:val="550"/>
        </w:trPr>
        <w:tc>
          <w:tcPr>
            <w:tcW w:w="2286" w:type="dxa"/>
            <w:shd w:val="clear" w:color="auto" w:fill="BDD6EE" w:themeFill="accent1" w:themeFillTint="66"/>
          </w:tcPr>
          <w:p w14:paraId="4DC72805" w14:textId="77777777" w:rsidR="00B35F25" w:rsidRPr="00C14210" w:rsidRDefault="00B35F25" w:rsidP="005D61BD">
            <w:pPr>
              <w:spacing w:line="276" w:lineRule="auto"/>
            </w:pPr>
            <w:r w:rsidRPr="00C14210">
              <w:rPr>
                <w:rFonts w:ascii="Arial" w:eastAsia="Calibri" w:hAnsi="Arial" w:cs="Arial"/>
                <w:b/>
                <w:sz w:val="24"/>
              </w:rPr>
              <w:t>Definition enge Kontaktpersonen lt. RKI</w:t>
            </w:r>
          </w:p>
        </w:tc>
        <w:tc>
          <w:tcPr>
            <w:tcW w:w="13018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C571776" w14:textId="77777777" w:rsidR="00B35F25" w:rsidRPr="00C14210" w:rsidRDefault="004E2CD3" w:rsidP="00F46081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4210">
              <w:rPr>
                <w:rFonts w:ascii="Arial" w:hAnsi="Arial" w:cs="Arial"/>
                <w:b/>
                <w:sz w:val="24"/>
                <w:szCs w:val="24"/>
              </w:rPr>
              <w:t xml:space="preserve">Vorgehen </w:t>
            </w:r>
            <w:r w:rsidR="001639CB" w:rsidRPr="00C14210">
              <w:rPr>
                <w:rFonts w:ascii="Arial" w:hAnsi="Arial" w:cs="Arial"/>
                <w:b/>
                <w:sz w:val="24"/>
                <w:szCs w:val="24"/>
              </w:rPr>
              <w:t>KITA</w:t>
            </w:r>
          </w:p>
        </w:tc>
      </w:tr>
      <w:tr w:rsidR="00B35F25" w14:paraId="5BB8356E" w14:textId="77777777" w:rsidTr="00E96F2C">
        <w:trPr>
          <w:trHeight w:val="701"/>
        </w:trPr>
        <w:tc>
          <w:tcPr>
            <w:tcW w:w="2286" w:type="dxa"/>
          </w:tcPr>
          <w:p w14:paraId="0906C0CE" w14:textId="77777777" w:rsidR="00C43EB9" w:rsidRPr="00C14210" w:rsidRDefault="00C43EB9" w:rsidP="00F46081">
            <w:pPr>
              <w:pStyle w:val="Pa7"/>
              <w:numPr>
                <w:ilvl w:val="0"/>
                <w:numId w:val="3"/>
              </w:numPr>
              <w:spacing w:after="60"/>
              <w:ind w:left="164" w:hanging="13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210">
              <w:rPr>
                <w:rStyle w:val="A0"/>
                <w:rFonts w:ascii="Arial" w:hAnsi="Arial" w:cs="Arial"/>
                <w:sz w:val="22"/>
                <w:szCs w:val="22"/>
              </w:rPr>
              <w:t>E</w:t>
            </w:r>
            <w:r w:rsidR="001E245B" w:rsidRPr="00C14210">
              <w:rPr>
                <w:rStyle w:val="A0"/>
                <w:rFonts w:ascii="Arial" w:hAnsi="Arial" w:cs="Arial"/>
                <w:sz w:val="22"/>
                <w:szCs w:val="22"/>
              </w:rPr>
              <w:t>nger Kontakt (&lt;1,5 m Abstand) &gt;</w:t>
            </w:r>
            <w:r w:rsidRPr="00C14210">
              <w:rPr>
                <w:rStyle w:val="A0"/>
                <w:rFonts w:ascii="Arial" w:hAnsi="Arial" w:cs="Arial"/>
                <w:sz w:val="22"/>
                <w:szCs w:val="22"/>
              </w:rPr>
              <w:t xml:space="preserve">10 min </w:t>
            </w:r>
            <w:r w:rsidRPr="00C14210">
              <w:rPr>
                <w:rStyle w:val="A0"/>
                <w:rFonts w:ascii="Arial" w:hAnsi="Arial" w:cs="Arial"/>
                <w:b/>
                <w:bCs/>
                <w:sz w:val="22"/>
                <w:szCs w:val="22"/>
              </w:rPr>
              <w:t xml:space="preserve">ohne </w:t>
            </w:r>
            <w:r w:rsidRPr="00C14210">
              <w:rPr>
                <w:rStyle w:val="A0"/>
                <w:rFonts w:ascii="Arial" w:hAnsi="Arial" w:cs="Arial"/>
                <w:sz w:val="22"/>
                <w:szCs w:val="22"/>
              </w:rPr>
              <w:t xml:space="preserve">adäquaten Schutz </w:t>
            </w:r>
          </w:p>
          <w:p w14:paraId="631F480B" w14:textId="77777777" w:rsidR="00C43EB9" w:rsidRPr="00C14210" w:rsidRDefault="00C43EB9" w:rsidP="00F46081">
            <w:pPr>
              <w:pStyle w:val="Pa7"/>
              <w:numPr>
                <w:ilvl w:val="0"/>
                <w:numId w:val="3"/>
              </w:numPr>
              <w:spacing w:after="60"/>
              <w:ind w:left="164" w:hanging="13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210">
              <w:rPr>
                <w:rStyle w:val="A0"/>
                <w:rFonts w:ascii="Arial" w:hAnsi="Arial" w:cs="Arial"/>
                <w:sz w:val="22"/>
                <w:szCs w:val="22"/>
              </w:rPr>
              <w:t xml:space="preserve">Gespräch (&lt;1,5 m Abstand) </w:t>
            </w:r>
            <w:r w:rsidRPr="00C14210">
              <w:rPr>
                <w:rStyle w:val="A0"/>
                <w:rFonts w:ascii="Arial" w:hAnsi="Arial" w:cs="Arial"/>
                <w:b/>
                <w:bCs/>
                <w:sz w:val="22"/>
                <w:szCs w:val="22"/>
              </w:rPr>
              <w:t xml:space="preserve">ohne </w:t>
            </w:r>
            <w:r w:rsidRPr="00C14210">
              <w:rPr>
                <w:rStyle w:val="A0"/>
                <w:rFonts w:ascii="Arial" w:hAnsi="Arial" w:cs="Arial"/>
                <w:sz w:val="22"/>
                <w:szCs w:val="22"/>
              </w:rPr>
              <w:t xml:space="preserve">adäquaten Schutz unabhängig von Dauer oder direkter Kontakt mit respiratorischem Sekret </w:t>
            </w:r>
          </w:p>
          <w:p w14:paraId="421BCA74" w14:textId="77777777" w:rsidR="00B35F25" w:rsidRPr="00C14210" w:rsidRDefault="00C43EB9" w:rsidP="00F46081">
            <w:pPr>
              <w:pStyle w:val="Default"/>
              <w:numPr>
                <w:ilvl w:val="0"/>
                <w:numId w:val="3"/>
              </w:numPr>
              <w:ind w:left="164" w:hanging="135"/>
              <w:rPr>
                <w:rFonts w:ascii="Arial" w:hAnsi="Arial" w:cs="Arial"/>
                <w:b/>
                <w:sz w:val="22"/>
                <w:szCs w:val="22"/>
              </w:rPr>
            </w:pPr>
            <w:r w:rsidRPr="00C14210">
              <w:rPr>
                <w:rStyle w:val="A0"/>
                <w:rFonts w:ascii="Arial" w:hAnsi="Arial" w:cs="Arial"/>
                <w:sz w:val="22"/>
                <w:szCs w:val="22"/>
              </w:rPr>
              <w:t>Aufenthalt im selben Raum mit wahrscheinlich hoher Konzentra</w:t>
            </w:r>
            <w:r w:rsidR="001E245B" w:rsidRPr="00C14210">
              <w:rPr>
                <w:rStyle w:val="A0"/>
                <w:rFonts w:ascii="Arial" w:hAnsi="Arial" w:cs="Arial"/>
                <w:sz w:val="22"/>
                <w:szCs w:val="22"/>
              </w:rPr>
              <w:t>tion infektiöser Aerosole für &gt;</w:t>
            </w:r>
            <w:r w:rsidRPr="00C14210">
              <w:rPr>
                <w:rStyle w:val="A0"/>
                <w:rFonts w:ascii="Arial" w:hAnsi="Arial" w:cs="Arial"/>
                <w:sz w:val="22"/>
                <w:szCs w:val="22"/>
              </w:rPr>
              <w:t xml:space="preserve">10 min </w:t>
            </w:r>
            <w:r w:rsidRPr="00C14210">
              <w:rPr>
                <w:rStyle w:val="A0"/>
                <w:rFonts w:ascii="Arial" w:hAnsi="Arial" w:cs="Arial"/>
                <w:sz w:val="22"/>
                <w:szCs w:val="22"/>
              </w:rPr>
              <w:br/>
              <w:t xml:space="preserve">(z. B. </w:t>
            </w:r>
            <w:r w:rsidR="00B35F25" w:rsidRPr="00C14210">
              <w:rPr>
                <w:rFonts w:ascii="Arial" w:hAnsi="Arial" w:cs="Arial"/>
                <w:sz w:val="22"/>
                <w:szCs w:val="22"/>
              </w:rPr>
              <w:t>in einem nicht ausreichend belüfteten Raum</w:t>
            </w:r>
            <w:r w:rsidR="0010726B" w:rsidRPr="00C14210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3F3292AA" w14:textId="77777777" w:rsidR="00B35F25" w:rsidRPr="00C14210" w:rsidRDefault="00B35F25" w:rsidP="005D61BD"/>
        </w:tc>
        <w:tc>
          <w:tcPr>
            <w:tcW w:w="13018" w:type="dxa"/>
            <w:tcBorders>
              <w:right w:val="single" w:sz="4" w:space="0" w:color="auto"/>
            </w:tcBorders>
          </w:tcPr>
          <w:p w14:paraId="12316B63" w14:textId="77777777" w:rsidR="00B35F25" w:rsidRPr="00C14210" w:rsidRDefault="00F55413" w:rsidP="00BF1421">
            <w:pPr>
              <w:pStyle w:val="Listenabsatz"/>
              <w:numPr>
                <w:ilvl w:val="0"/>
                <w:numId w:val="1"/>
              </w:numPr>
              <w:spacing w:line="259" w:lineRule="auto"/>
              <w:ind w:left="147" w:hanging="142"/>
              <w:contextualSpacing w:val="0"/>
              <w:jc w:val="both"/>
              <w:rPr>
                <w:rFonts w:ascii="Arial" w:hAnsi="Arial" w:cs="Arial"/>
              </w:rPr>
            </w:pPr>
            <w:r w:rsidRPr="00C14210">
              <w:rPr>
                <w:rFonts w:ascii="Arial" w:hAnsi="Arial" w:cs="Arial"/>
              </w:rPr>
              <w:t>Bei einem Indexfa</w:t>
            </w:r>
            <w:r w:rsidR="00BF1421">
              <w:rPr>
                <w:rFonts w:ascii="Arial" w:hAnsi="Arial" w:cs="Arial"/>
              </w:rPr>
              <w:t>ll und bis maximal 2 Folgefälle</w:t>
            </w:r>
            <w:r w:rsidRPr="00C14210">
              <w:rPr>
                <w:rFonts w:ascii="Arial" w:hAnsi="Arial" w:cs="Arial"/>
              </w:rPr>
              <w:t xml:space="preserve"> in der KITA: </w:t>
            </w:r>
          </w:p>
          <w:p w14:paraId="0CF17076" w14:textId="77777777" w:rsidR="00B35F25" w:rsidRPr="00C14210" w:rsidRDefault="005D6191" w:rsidP="00BF1421">
            <w:pPr>
              <w:pStyle w:val="Listenabsatz"/>
              <w:numPr>
                <w:ilvl w:val="0"/>
                <w:numId w:val="4"/>
              </w:numPr>
              <w:spacing w:after="180"/>
              <w:ind w:left="385" w:hanging="213"/>
              <w:jc w:val="both"/>
              <w:rPr>
                <w:rFonts w:ascii="Arial" w:hAnsi="Arial" w:cs="Arial"/>
              </w:rPr>
            </w:pPr>
            <w:r w:rsidRPr="00C14210">
              <w:rPr>
                <w:rFonts w:ascii="Arial" w:hAnsi="Arial" w:cs="Arial"/>
              </w:rPr>
              <w:t>Isolierungsanordnung</w:t>
            </w:r>
            <w:r w:rsidR="00B35F25" w:rsidRPr="00C14210">
              <w:rPr>
                <w:rFonts w:ascii="Arial" w:hAnsi="Arial" w:cs="Arial"/>
              </w:rPr>
              <w:t xml:space="preserve"> für </w:t>
            </w:r>
            <w:r w:rsidR="00377B76" w:rsidRPr="00C14210">
              <w:rPr>
                <w:rFonts w:ascii="Arial" w:hAnsi="Arial" w:cs="Arial"/>
              </w:rPr>
              <w:t>PCR-positive Fälle (</w:t>
            </w:r>
            <w:r w:rsidR="00B35F25" w:rsidRPr="00C14210">
              <w:rPr>
                <w:rFonts w:ascii="Arial" w:hAnsi="Arial" w:cs="Arial"/>
              </w:rPr>
              <w:t xml:space="preserve">Indexfall </w:t>
            </w:r>
            <w:r w:rsidR="000037EF" w:rsidRPr="00C14210">
              <w:rPr>
                <w:rFonts w:ascii="Arial" w:hAnsi="Arial" w:cs="Arial"/>
              </w:rPr>
              <w:t>und ggf. Folgefälle</w:t>
            </w:r>
            <w:r w:rsidR="00377B76" w:rsidRPr="00C14210">
              <w:rPr>
                <w:rFonts w:ascii="Arial" w:hAnsi="Arial" w:cs="Arial"/>
              </w:rPr>
              <w:t>)</w:t>
            </w:r>
            <w:r w:rsidR="00D816CC" w:rsidRPr="00C14210">
              <w:rPr>
                <w:rFonts w:ascii="Arial" w:hAnsi="Arial" w:cs="Arial"/>
              </w:rPr>
              <w:t xml:space="preserve"> für 14 Tage</w:t>
            </w:r>
            <w:r w:rsidR="00253BDD" w:rsidRPr="00C14210">
              <w:rPr>
                <w:rFonts w:ascii="Arial" w:hAnsi="Arial" w:cs="Arial"/>
              </w:rPr>
              <w:t>.</w:t>
            </w:r>
            <w:r w:rsidR="00B35F25" w:rsidRPr="00C14210">
              <w:rPr>
                <w:rFonts w:ascii="Arial" w:hAnsi="Arial" w:cs="Arial"/>
              </w:rPr>
              <w:t xml:space="preserve"> </w:t>
            </w:r>
          </w:p>
          <w:p w14:paraId="72383CE5" w14:textId="4D08CCCF" w:rsidR="00E731AA" w:rsidRPr="00AD3792" w:rsidRDefault="00F55413" w:rsidP="009817DD">
            <w:pPr>
              <w:pStyle w:val="Listenabsatz"/>
              <w:numPr>
                <w:ilvl w:val="0"/>
                <w:numId w:val="4"/>
              </w:numPr>
              <w:ind w:left="386" w:hanging="213"/>
              <w:contextualSpacing w:val="0"/>
              <w:jc w:val="both"/>
              <w:rPr>
                <w:rFonts w:ascii="Arial" w:hAnsi="Arial" w:cs="Arial"/>
              </w:rPr>
            </w:pPr>
            <w:r w:rsidRPr="00AD3792">
              <w:rPr>
                <w:rFonts w:ascii="Arial" w:hAnsi="Arial" w:cs="Arial"/>
              </w:rPr>
              <w:t xml:space="preserve">Häusliche Absonderung </w:t>
            </w:r>
            <w:r w:rsidR="00B42F27" w:rsidRPr="00AD3792">
              <w:rPr>
                <w:rFonts w:ascii="Arial" w:hAnsi="Arial" w:cs="Arial"/>
              </w:rPr>
              <w:t>für nicht genesene</w:t>
            </w:r>
            <w:r w:rsidR="00AD3792" w:rsidRPr="00AD3792">
              <w:rPr>
                <w:rFonts w:ascii="Arial" w:hAnsi="Arial" w:cs="Arial"/>
              </w:rPr>
              <w:t xml:space="preserve"> </w:t>
            </w:r>
            <w:r w:rsidR="00B42F27" w:rsidRPr="00AD3792">
              <w:rPr>
                <w:rFonts w:ascii="Arial" w:hAnsi="Arial" w:cs="Arial"/>
              </w:rPr>
              <w:t xml:space="preserve">/ nicht geimpfte Haushaltskontaktpersonen </w:t>
            </w:r>
            <w:r w:rsidR="003347FC" w:rsidRPr="00AD3792">
              <w:rPr>
                <w:rFonts w:ascii="Arial" w:hAnsi="Arial" w:cs="Arial"/>
              </w:rPr>
              <w:t>(z.</w:t>
            </w:r>
            <w:r w:rsidR="00E96F2C">
              <w:rPr>
                <w:rFonts w:ascii="Arial" w:hAnsi="Arial" w:cs="Arial"/>
              </w:rPr>
              <w:t xml:space="preserve"> </w:t>
            </w:r>
            <w:r w:rsidR="003347FC" w:rsidRPr="00AD3792">
              <w:rPr>
                <w:rFonts w:ascii="Arial" w:hAnsi="Arial" w:cs="Arial"/>
              </w:rPr>
              <w:t>B. Gesch</w:t>
            </w:r>
            <w:r w:rsidR="00AD3792">
              <w:rPr>
                <w:rFonts w:ascii="Arial" w:hAnsi="Arial" w:cs="Arial"/>
              </w:rPr>
              <w:t>w</w:t>
            </w:r>
            <w:r w:rsidR="003347FC" w:rsidRPr="00AD3792">
              <w:rPr>
                <w:rFonts w:ascii="Arial" w:hAnsi="Arial" w:cs="Arial"/>
              </w:rPr>
              <w:t xml:space="preserve">isterkinder) </w:t>
            </w:r>
            <w:r w:rsidR="00B42F27" w:rsidRPr="00AD3792">
              <w:rPr>
                <w:rFonts w:ascii="Arial" w:hAnsi="Arial" w:cs="Arial"/>
              </w:rPr>
              <w:t xml:space="preserve">zum Fall </w:t>
            </w:r>
            <w:r w:rsidRPr="00AD3792">
              <w:rPr>
                <w:rFonts w:ascii="Arial" w:hAnsi="Arial" w:cs="Arial"/>
              </w:rPr>
              <w:t>(Quarantäne für 10 Tage</w:t>
            </w:r>
            <w:r w:rsidR="00304E13" w:rsidRPr="00AD3792">
              <w:rPr>
                <w:rFonts w:ascii="Arial" w:hAnsi="Arial" w:cs="Arial"/>
              </w:rPr>
              <w:t>;</w:t>
            </w:r>
            <w:r w:rsidRPr="00AD3792">
              <w:rPr>
                <w:rFonts w:ascii="Arial" w:hAnsi="Arial" w:cs="Arial"/>
              </w:rPr>
              <w:t xml:space="preserve"> Freitestung</w:t>
            </w:r>
            <w:r w:rsidR="00304E13" w:rsidRPr="00AD3792">
              <w:rPr>
                <w:rFonts w:ascii="Arial" w:hAnsi="Arial" w:cs="Arial"/>
              </w:rPr>
              <w:t xml:space="preserve"> möglich </w:t>
            </w:r>
            <w:r w:rsidR="00F26C63" w:rsidRPr="00AD3792">
              <w:rPr>
                <w:rFonts w:ascii="Arial" w:hAnsi="Arial" w:cs="Arial"/>
              </w:rPr>
              <w:t>nach 7 Tagen mittels Ag-Test</w:t>
            </w:r>
            <w:r w:rsidR="006300F5" w:rsidRPr="00AD3792">
              <w:rPr>
                <w:rFonts w:ascii="Arial" w:hAnsi="Arial" w:cs="Arial"/>
              </w:rPr>
              <w:t xml:space="preserve"> (PEI-</w:t>
            </w:r>
            <w:r w:rsidR="008745F3" w:rsidRPr="00AD3792">
              <w:rPr>
                <w:rFonts w:ascii="Arial" w:hAnsi="Arial" w:cs="Arial"/>
              </w:rPr>
              <w:t xml:space="preserve">gelistet) </w:t>
            </w:r>
            <w:r w:rsidR="00913E9B" w:rsidRPr="00BF1421">
              <w:footnoteReference w:id="1"/>
            </w:r>
            <w:r w:rsidR="00304E13" w:rsidRPr="00AD3792">
              <w:rPr>
                <w:rFonts w:ascii="Arial" w:hAnsi="Arial" w:cs="Arial"/>
              </w:rPr>
              <w:t>)</w:t>
            </w:r>
          </w:p>
          <w:p w14:paraId="72851380" w14:textId="77777777" w:rsidR="00F55413" w:rsidRPr="008745F3" w:rsidRDefault="00F55413" w:rsidP="0028337D">
            <w:pPr>
              <w:pStyle w:val="Listenabsatz"/>
              <w:numPr>
                <w:ilvl w:val="0"/>
                <w:numId w:val="4"/>
              </w:numPr>
              <w:ind w:left="385" w:hanging="215"/>
              <w:contextualSpacing w:val="0"/>
              <w:jc w:val="both"/>
              <w:rPr>
                <w:rFonts w:ascii="Arial" w:hAnsi="Arial" w:cs="Arial"/>
              </w:rPr>
            </w:pPr>
            <w:r w:rsidRPr="00B42F27">
              <w:rPr>
                <w:rFonts w:ascii="Arial" w:hAnsi="Arial" w:cs="Arial"/>
              </w:rPr>
              <w:t>Information an alle Eltern über Auftreten einer COVID-Infektion in der Einrichtung</w:t>
            </w:r>
            <w:r w:rsidR="00913E9B" w:rsidRPr="008745F3">
              <w:rPr>
                <w:rFonts w:ascii="Arial" w:hAnsi="Arial" w:cs="Arial"/>
              </w:rPr>
              <w:t>.</w:t>
            </w:r>
          </w:p>
          <w:p w14:paraId="764A0E82" w14:textId="77777777" w:rsidR="00A83F5B" w:rsidRPr="0028337D" w:rsidRDefault="00F55413" w:rsidP="00F00F4B">
            <w:pPr>
              <w:pStyle w:val="Listenabsatz"/>
              <w:numPr>
                <w:ilvl w:val="0"/>
                <w:numId w:val="4"/>
              </w:numPr>
              <w:ind w:left="385" w:hanging="215"/>
              <w:jc w:val="both"/>
              <w:rPr>
                <w:rFonts w:ascii="Arial" w:hAnsi="Arial" w:cs="Arial"/>
              </w:rPr>
            </w:pPr>
            <w:r w:rsidRPr="0028337D">
              <w:rPr>
                <w:rFonts w:ascii="Arial" w:hAnsi="Arial" w:cs="Arial"/>
              </w:rPr>
              <w:t xml:space="preserve">Den übrigen Kindern der Kohorte ist </w:t>
            </w:r>
            <w:r w:rsidR="00741A01" w:rsidRPr="0028337D">
              <w:rPr>
                <w:rFonts w:ascii="Arial" w:hAnsi="Arial" w:cs="Arial"/>
              </w:rPr>
              <w:t xml:space="preserve">der </w:t>
            </w:r>
            <w:r w:rsidRPr="0028337D">
              <w:rPr>
                <w:rFonts w:ascii="Arial" w:hAnsi="Arial" w:cs="Arial"/>
              </w:rPr>
              <w:t xml:space="preserve">Besuch </w:t>
            </w:r>
            <w:r w:rsidR="00F46081" w:rsidRPr="0028337D">
              <w:rPr>
                <w:rFonts w:ascii="Arial" w:hAnsi="Arial" w:cs="Arial"/>
              </w:rPr>
              <w:t xml:space="preserve">der Einrichtung weiter möglich. </w:t>
            </w:r>
            <w:r w:rsidRPr="0028337D">
              <w:rPr>
                <w:rFonts w:ascii="Arial" w:hAnsi="Arial" w:cs="Arial"/>
              </w:rPr>
              <w:t>Folgende Grundsätze sollten</w:t>
            </w:r>
            <w:r w:rsidR="00304E13" w:rsidRPr="0028337D">
              <w:rPr>
                <w:rFonts w:ascii="Arial" w:hAnsi="Arial" w:cs="Arial"/>
              </w:rPr>
              <w:t xml:space="preserve"> </w:t>
            </w:r>
            <w:r w:rsidRPr="0028337D">
              <w:rPr>
                <w:rFonts w:ascii="Arial" w:hAnsi="Arial" w:cs="Arial"/>
              </w:rPr>
              <w:t>eingehalten werden</w:t>
            </w:r>
            <w:r w:rsidR="00A83F5B" w:rsidRPr="0028337D">
              <w:rPr>
                <w:rFonts w:ascii="Arial" w:hAnsi="Arial" w:cs="Arial"/>
              </w:rPr>
              <w:t>:</w:t>
            </w:r>
          </w:p>
          <w:p w14:paraId="121B788E" w14:textId="77777777" w:rsidR="0028337D" w:rsidRDefault="00431226" w:rsidP="00BF1421">
            <w:pPr>
              <w:pStyle w:val="Listenabsatz"/>
              <w:numPr>
                <w:ilvl w:val="2"/>
                <w:numId w:val="1"/>
              </w:numPr>
              <w:ind w:left="605" w:hanging="142"/>
              <w:contextualSpacing w:val="0"/>
              <w:jc w:val="both"/>
              <w:rPr>
                <w:rFonts w:ascii="Arial" w:hAnsi="Arial" w:cs="Arial"/>
              </w:rPr>
            </w:pPr>
            <w:r w:rsidRPr="00C14210">
              <w:rPr>
                <w:rFonts w:ascii="Arial" w:hAnsi="Arial" w:cs="Arial"/>
              </w:rPr>
              <w:t>Engmaschige Symptomkontrolle</w:t>
            </w:r>
            <w:r w:rsidR="00D0143F" w:rsidRPr="00C14210">
              <w:rPr>
                <w:rFonts w:ascii="Arial" w:hAnsi="Arial" w:cs="Arial"/>
              </w:rPr>
              <w:t xml:space="preserve"> </w:t>
            </w:r>
            <w:r w:rsidRPr="00C14210">
              <w:rPr>
                <w:rFonts w:ascii="Arial" w:hAnsi="Arial" w:cs="Arial"/>
              </w:rPr>
              <w:t xml:space="preserve">der betroffenen Kinder durch </w:t>
            </w:r>
            <w:r w:rsidR="0028337D">
              <w:rPr>
                <w:rFonts w:ascii="Arial" w:hAnsi="Arial" w:cs="Arial"/>
              </w:rPr>
              <w:t xml:space="preserve">die </w:t>
            </w:r>
            <w:r w:rsidRPr="00C14210">
              <w:rPr>
                <w:rFonts w:ascii="Arial" w:hAnsi="Arial" w:cs="Arial"/>
              </w:rPr>
              <w:t>Eltern und</w:t>
            </w:r>
            <w:r w:rsidR="0023296A" w:rsidRPr="00C14210">
              <w:rPr>
                <w:rFonts w:ascii="Arial" w:hAnsi="Arial" w:cs="Arial"/>
              </w:rPr>
              <w:t xml:space="preserve"> durch das Personal in der</w:t>
            </w:r>
            <w:r w:rsidRPr="00C14210">
              <w:rPr>
                <w:rFonts w:ascii="Arial" w:hAnsi="Arial" w:cs="Arial"/>
              </w:rPr>
              <w:t xml:space="preserve"> Einrichtung</w:t>
            </w:r>
            <w:r w:rsidR="00D0143F" w:rsidRPr="00C14210">
              <w:rPr>
                <w:rFonts w:ascii="Arial" w:hAnsi="Arial" w:cs="Arial"/>
              </w:rPr>
              <w:t xml:space="preserve"> für </w:t>
            </w:r>
          </w:p>
          <w:p w14:paraId="42ECA5A5" w14:textId="77777777" w:rsidR="00B35F25" w:rsidRPr="00C14210" w:rsidRDefault="00D0143F" w:rsidP="0028337D">
            <w:pPr>
              <w:pStyle w:val="Listenabsatz"/>
              <w:ind w:left="605"/>
              <w:contextualSpacing w:val="0"/>
              <w:jc w:val="both"/>
              <w:rPr>
                <w:rFonts w:ascii="Arial" w:hAnsi="Arial" w:cs="Arial"/>
              </w:rPr>
            </w:pPr>
            <w:r w:rsidRPr="00C14210">
              <w:rPr>
                <w:rFonts w:ascii="Arial" w:hAnsi="Arial" w:cs="Arial"/>
              </w:rPr>
              <w:t>14 Tage nach letztem Kontakt.</w:t>
            </w:r>
          </w:p>
          <w:p w14:paraId="0B9B7E6A" w14:textId="77777777" w:rsidR="00D0143F" w:rsidRPr="00C14210" w:rsidRDefault="00431226" w:rsidP="00BF1421">
            <w:pPr>
              <w:pStyle w:val="Listenabsatz"/>
              <w:numPr>
                <w:ilvl w:val="2"/>
                <w:numId w:val="1"/>
              </w:numPr>
              <w:ind w:left="605" w:hanging="142"/>
              <w:contextualSpacing w:val="0"/>
              <w:jc w:val="both"/>
              <w:rPr>
                <w:rFonts w:ascii="Arial" w:hAnsi="Arial" w:cs="Arial"/>
              </w:rPr>
            </w:pPr>
            <w:r w:rsidRPr="00C14210">
              <w:rPr>
                <w:rFonts w:ascii="Arial" w:hAnsi="Arial" w:cs="Arial"/>
              </w:rPr>
              <w:t>Engmaschige Symptomkontrolle des exponierten erwachsenen Betreuungspersonals</w:t>
            </w:r>
            <w:r w:rsidR="00D0143F" w:rsidRPr="00C14210">
              <w:rPr>
                <w:rFonts w:ascii="Arial" w:hAnsi="Arial" w:cs="Arial"/>
              </w:rPr>
              <w:t xml:space="preserve"> für 14 Tage nach letztem Kontakt.</w:t>
            </w:r>
          </w:p>
          <w:p w14:paraId="674D6952" w14:textId="77777777" w:rsidR="00A406AE" w:rsidRPr="00C14210" w:rsidRDefault="00A406AE" w:rsidP="00BF1421">
            <w:pPr>
              <w:pStyle w:val="Listenabsatz"/>
              <w:numPr>
                <w:ilvl w:val="2"/>
                <w:numId w:val="1"/>
              </w:numPr>
              <w:ind w:left="605" w:hanging="142"/>
              <w:contextualSpacing w:val="0"/>
              <w:jc w:val="both"/>
              <w:rPr>
                <w:rFonts w:ascii="Arial" w:hAnsi="Arial" w:cs="Arial"/>
                <w:b/>
              </w:rPr>
            </w:pPr>
            <w:r w:rsidRPr="00C14210">
              <w:rPr>
                <w:rFonts w:ascii="Arial" w:hAnsi="Arial" w:cs="Arial"/>
                <w:b/>
              </w:rPr>
              <w:t xml:space="preserve">Bei Entwicklung von Symptomen: </w:t>
            </w:r>
            <w:r w:rsidRPr="00BF1421">
              <w:rPr>
                <w:rFonts w:ascii="Arial" w:hAnsi="Arial" w:cs="Arial"/>
              </w:rPr>
              <w:t xml:space="preserve">Einrichtung nicht betreten und kurzfristige diagnostische Abklärung </w:t>
            </w:r>
            <w:r w:rsidRPr="00BF1421">
              <w:rPr>
                <w:rFonts w:ascii="Arial" w:hAnsi="Arial" w:cs="Arial"/>
                <w:b/>
              </w:rPr>
              <w:t>mittels PCR.</w:t>
            </w:r>
          </w:p>
          <w:p w14:paraId="1FCE4D33" w14:textId="77777777" w:rsidR="0028337D" w:rsidRDefault="00431226" w:rsidP="00BF1421">
            <w:pPr>
              <w:pStyle w:val="Listenabsatz"/>
              <w:numPr>
                <w:ilvl w:val="2"/>
                <w:numId w:val="1"/>
              </w:numPr>
              <w:ind w:left="605" w:hanging="142"/>
              <w:contextualSpacing w:val="0"/>
              <w:jc w:val="both"/>
              <w:rPr>
                <w:rFonts w:ascii="Arial" w:hAnsi="Arial" w:cs="Arial"/>
              </w:rPr>
            </w:pPr>
            <w:r w:rsidRPr="00C14210">
              <w:rPr>
                <w:rFonts w:ascii="Arial" w:hAnsi="Arial" w:cs="Arial"/>
              </w:rPr>
              <w:t xml:space="preserve">Bildung einer fixen Kohorte mit fest zugeordneten Kindern und Betreuungspersonal (auch für Übergabe und Abholen der Kinder); </w:t>
            </w:r>
          </w:p>
          <w:p w14:paraId="48747245" w14:textId="77777777" w:rsidR="00D816CC" w:rsidRPr="00C14210" w:rsidRDefault="00431226" w:rsidP="0028337D">
            <w:pPr>
              <w:pStyle w:val="Listenabsatz"/>
              <w:ind w:left="605"/>
              <w:contextualSpacing w:val="0"/>
              <w:jc w:val="both"/>
              <w:rPr>
                <w:rFonts w:ascii="Arial" w:hAnsi="Arial" w:cs="Arial"/>
              </w:rPr>
            </w:pPr>
            <w:r w:rsidRPr="00C14210">
              <w:rPr>
                <w:rFonts w:ascii="Arial" w:hAnsi="Arial" w:cs="Arial"/>
              </w:rPr>
              <w:t>Wechsel zwischen Gruppen oder Nutzung von Auffang- und Hortgruppen vermeiden.</w:t>
            </w:r>
          </w:p>
          <w:p w14:paraId="3650AB9E" w14:textId="77777777" w:rsidR="0028337D" w:rsidRDefault="00431226" w:rsidP="00BF1421">
            <w:pPr>
              <w:pStyle w:val="Listenabsatz"/>
              <w:numPr>
                <w:ilvl w:val="2"/>
                <w:numId w:val="1"/>
              </w:numPr>
              <w:ind w:left="605" w:hanging="142"/>
              <w:contextualSpacing w:val="0"/>
              <w:jc w:val="both"/>
              <w:rPr>
                <w:rFonts w:ascii="Arial" w:hAnsi="Arial" w:cs="Arial"/>
              </w:rPr>
            </w:pPr>
            <w:r w:rsidRPr="00C14210">
              <w:rPr>
                <w:rFonts w:ascii="Arial" w:hAnsi="Arial" w:cs="Arial"/>
              </w:rPr>
              <w:t>Dringende Empfehlung einer konsequenten Kontaktreduktion außerhalb der Einrichtung; Kontakte zu besonders gefährdeten</w:t>
            </w:r>
          </w:p>
          <w:p w14:paraId="4FD48B1D" w14:textId="77777777" w:rsidR="0028337D" w:rsidRDefault="00431226" w:rsidP="0028337D">
            <w:pPr>
              <w:pStyle w:val="Listenabsatz"/>
              <w:ind w:left="605"/>
              <w:contextualSpacing w:val="0"/>
              <w:jc w:val="both"/>
              <w:rPr>
                <w:rFonts w:ascii="Arial" w:hAnsi="Arial" w:cs="Arial"/>
              </w:rPr>
            </w:pPr>
            <w:r w:rsidRPr="00C14210">
              <w:rPr>
                <w:rFonts w:ascii="Arial" w:hAnsi="Arial" w:cs="Arial"/>
              </w:rPr>
              <w:t xml:space="preserve"> Personen sowie Teilnahme an Gruppenaktivitäten außerhalb der Kohorte sind zu vermeiden; Freizeitkontakte zu Mitgliedern </w:t>
            </w:r>
          </w:p>
          <w:p w14:paraId="27E9B2A6" w14:textId="77777777" w:rsidR="00056CBA" w:rsidRPr="0028337D" w:rsidRDefault="0028337D" w:rsidP="0028337D">
            <w:pPr>
              <w:ind w:right="74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d</w:t>
            </w:r>
            <w:r w:rsidR="00431226" w:rsidRPr="0028337D">
              <w:rPr>
                <w:rFonts w:ascii="Arial" w:hAnsi="Arial" w:cs="Arial"/>
              </w:rPr>
              <w:t>er Kohorte sind möglich.</w:t>
            </w:r>
          </w:p>
          <w:p w14:paraId="4B775F59" w14:textId="77777777" w:rsidR="00B35F25" w:rsidRPr="00C14210" w:rsidRDefault="00A406AE" w:rsidP="00BF1421">
            <w:pPr>
              <w:pStyle w:val="Listenabsatz"/>
              <w:numPr>
                <w:ilvl w:val="2"/>
                <w:numId w:val="1"/>
              </w:numPr>
              <w:ind w:left="605" w:hanging="142"/>
              <w:contextualSpacing w:val="0"/>
              <w:jc w:val="both"/>
              <w:rPr>
                <w:rFonts w:ascii="Arial" w:hAnsi="Arial" w:cs="Arial"/>
              </w:rPr>
            </w:pPr>
            <w:r w:rsidRPr="00C14210">
              <w:rPr>
                <w:rFonts w:ascii="Arial" w:hAnsi="Arial" w:cs="Arial"/>
              </w:rPr>
              <w:t>Innerhalb der Kohorte</w:t>
            </w:r>
            <w:r w:rsidR="00F46081" w:rsidRPr="00C14210">
              <w:rPr>
                <w:rFonts w:ascii="Arial" w:hAnsi="Arial" w:cs="Arial"/>
              </w:rPr>
              <w:t xml:space="preserve"> arbeitendes (geimpftes oder ungeimpftes)</w:t>
            </w:r>
            <w:r w:rsidRPr="00C14210">
              <w:rPr>
                <w:rFonts w:ascii="Arial" w:hAnsi="Arial" w:cs="Arial"/>
              </w:rPr>
              <w:t xml:space="preserve"> Personal soll in keinem weiteren Bereich eingesetzt werden</w:t>
            </w:r>
            <w:r w:rsidR="00F46081" w:rsidRPr="00C14210">
              <w:rPr>
                <w:rFonts w:ascii="Arial" w:hAnsi="Arial" w:cs="Arial"/>
              </w:rPr>
              <w:t>.</w:t>
            </w:r>
          </w:p>
          <w:p w14:paraId="3D91B964" w14:textId="77777777" w:rsidR="0028337D" w:rsidRDefault="00A406AE" w:rsidP="00BF1421">
            <w:pPr>
              <w:pStyle w:val="Listenabsatz"/>
              <w:numPr>
                <w:ilvl w:val="2"/>
                <w:numId w:val="1"/>
              </w:numPr>
              <w:ind w:left="605" w:hanging="142"/>
              <w:contextualSpacing w:val="0"/>
              <w:jc w:val="both"/>
              <w:rPr>
                <w:rFonts w:ascii="Arial" w:hAnsi="Arial" w:cs="Arial"/>
              </w:rPr>
            </w:pPr>
            <w:r w:rsidRPr="00C14210">
              <w:rPr>
                <w:rFonts w:ascii="Arial" w:hAnsi="Arial" w:cs="Arial"/>
              </w:rPr>
              <w:t xml:space="preserve">Nach Ablauf von </w:t>
            </w:r>
            <w:r w:rsidR="00304E13" w:rsidRPr="00C14210">
              <w:rPr>
                <w:rFonts w:ascii="Arial" w:hAnsi="Arial" w:cs="Arial"/>
              </w:rPr>
              <w:t>7</w:t>
            </w:r>
            <w:r w:rsidRPr="00C14210">
              <w:rPr>
                <w:rFonts w:ascii="Arial" w:hAnsi="Arial" w:cs="Arial"/>
              </w:rPr>
              <w:t xml:space="preserve"> Tagen </w:t>
            </w:r>
            <w:r w:rsidR="00117A04" w:rsidRPr="00C14210">
              <w:rPr>
                <w:rFonts w:ascii="Arial" w:hAnsi="Arial" w:cs="Arial"/>
              </w:rPr>
              <w:t xml:space="preserve">besteht die Möglichkeit der </w:t>
            </w:r>
            <w:r w:rsidR="00F26C63" w:rsidRPr="00C14210">
              <w:rPr>
                <w:rFonts w:ascii="Arial" w:hAnsi="Arial" w:cs="Arial"/>
              </w:rPr>
              <w:t>Freitestung</w:t>
            </w:r>
            <w:r w:rsidR="00117A04" w:rsidRPr="00C14210">
              <w:rPr>
                <w:rFonts w:ascii="Arial" w:hAnsi="Arial" w:cs="Arial"/>
              </w:rPr>
              <w:t xml:space="preserve"> </w:t>
            </w:r>
            <w:r w:rsidR="00D0143F" w:rsidRPr="00C14210">
              <w:rPr>
                <w:rFonts w:ascii="Arial" w:hAnsi="Arial" w:cs="Arial"/>
              </w:rPr>
              <w:t xml:space="preserve">der gesamten Kohorte und des Betreuungspersonals </w:t>
            </w:r>
          </w:p>
          <w:p w14:paraId="1A8205ED" w14:textId="77777777" w:rsidR="00A406AE" w:rsidRPr="00C14210" w:rsidRDefault="00F26C63" w:rsidP="0028337D">
            <w:pPr>
              <w:pStyle w:val="Listenabsatz"/>
              <w:ind w:left="605"/>
              <w:contextualSpacing w:val="0"/>
              <w:jc w:val="both"/>
              <w:rPr>
                <w:rFonts w:ascii="Arial" w:hAnsi="Arial" w:cs="Arial"/>
              </w:rPr>
            </w:pPr>
            <w:r w:rsidRPr="00C14210">
              <w:rPr>
                <w:rFonts w:ascii="Arial" w:hAnsi="Arial" w:cs="Arial"/>
              </w:rPr>
              <w:t>mittels Ag-Test (PEI</w:t>
            </w:r>
            <w:r w:rsidR="006300F5">
              <w:rPr>
                <w:rFonts w:ascii="Arial" w:hAnsi="Arial" w:cs="Arial"/>
              </w:rPr>
              <w:t>-</w:t>
            </w:r>
            <w:r w:rsidRPr="00C14210">
              <w:rPr>
                <w:rFonts w:ascii="Arial" w:hAnsi="Arial" w:cs="Arial"/>
              </w:rPr>
              <w:t>gelistet)</w:t>
            </w:r>
            <w:r w:rsidR="00FF24E8" w:rsidRPr="00C14210">
              <w:rPr>
                <w:rFonts w:ascii="Arial" w:hAnsi="Arial" w:cs="Arial"/>
              </w:rPr>
              <w:t>.</w:t>
            </w:r>
          </w:p>
          <w:p w14:paraId="092A0B59" w14:textId="77777777" w:rsidR="00A406AE" w:rsidRPr="00BF1421" w:rsidRDefault="00A406AE" w:rsidP="0073451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5041D3F" w14:textId="213A1155" w:rsidR="00BF1421" w:rsidRPr="00464E07" w:rsidRDefault="00330AE5" w:rsidP="007F62E4">
            <w:pPr>
              <w:pStyle w:val="Listenabsatz"/>
              <w:numPr>
                <w:ilvl w:val="0"/>
                <w:numId w:val="1"/>
              </w:numPr>
              <w:spacing w:line="259" w:lineRule="auto"/>
              <w:ind w:left="147" w:hanging="142"/>
              <w:contextualSpacing w:val="0"/>
              <w:jc w:val="both"/>
              <w:rPr>
                <w:rFonts w:ascii="Arial" w:hAnsi="Arial" w:cs="Arial"/>
              </w:rPr>
            </w:pPr>
            <w:r w:rsidRPr="00464E07">
              <w:rPr>
                <w:rFonts w:ascii="Arial" w:eastAsia="Arial" w:hAnsi="Arial"/>
                <w:color w:val="000000"/>
              </w:rPr>
              <w:t xml:space="preserve">Wenn die </w:t>
            </w:r>
            <w:r w:rsidR="00913E9B" w:rsidRPr="00464E07">
              <w:rPr>
                <w:rFonts w:ascii="Arial" w:eastAsia="Arial" w:hAnsi="Arial"/>
                <w:color w:val="000000"/>
              </w:rPr>
              <w:t xml:space="preserve">oben genannte Maßnahme aus organisatorischen Gründen nicht möglich sein sollte, </w:t>
            </w:r>
            <w:r w:rsidR="00913E9B" w:rsidRPr="00464E07">
              <w:rPr>
                <w:rFonts w:ascii="Arial" w:eastAsia="Arial" w:hAnsi="Arial"/>
                <w:color w:val="000000"/>
                <w:u w:val="single"/>
              </w:rPr>
              <w:t>kann</w:t>
            </w:r>
            <w:r w:rsidR="00913E9B" w:rsidRPr="00464E07">
              <w:rPr>
                <w:rFonts w:ascii="Arial" w:eastAsia="Arial" w:hAnsi="Arial"/>
                <w:color w:val="000000"/>
              </w:rPr>
              <w:t xml:space="preserve"> </w:t>
            </w:r>
            <w:r w:rsidRPr="00464E07">
              <w:rPr>
                <w:rFonts w:ascii="Arial" w:eastAsia="Arial" w:hAnsi="Arial"/>
                <w:color w:val="000000"/>
              </w:rPr>
              <w:t xml:space="preserve">im Einzelfall </w:t>
            </w:r>
            <w:r w:rsidR="00BF1421" w:rsidRPr="00464E07">
              <w:rPr>
                <w:rFonts w:ascii="Arial" w:eastAsia="Arial" w:hAnsi="Arial"/>
                <w:color w:val="000000"/>
              </w:rPr>
              <w:t xml:space="preserve">wie bei 3 Folgefällen </w:t>
            </w:r>
            <w:bookmarkStart w:id="0" w:name="_GoBack"/>
            <w:bookmarkEnd w:id="0"/>
            <w:r w:rsidR="00BF1421" w:rsidRPr="00464E07">
              <w:rPr>
                <w:rFonts w:ascii="Arial" w:eastAsia="Arial" w:hAnsi="Arial"/>
                <w:color w:val="000000"/>
              </w:rPr>
              <w:t>verfahren werden</w:t>
            </w:r>
          </w:p>
          <w:p w14:paraId="49E2D5F9" w14:textId="77777777" w:rsidR="00DB4A91" w:rsidRPr="00525C4F" w:rsidRDefault="00913E9B" w:rsidP="00525C4F">
            <w:pPr>
              <w:pStyle w:val="Listenabsatz"/>
              <w:numPr>
                <w:ilvl w:val="0"/>
                <w:numId w:val="1"/>
              </w:numPr>
              <w:spacing w:line="259" w:lineRule="auto"/>
              <w:ind w:left="147" w:hanging="142"/>
              <w:contextualSpacing w:val="0"/>
              <w:jc w:val="both"/>
              <w:rPr>
                <w:rFonts w:ascii="Arial" w:eastAsia="Arial" w:hAnsi="Arial"/>
                <w:color w:val="000000"/>
              </w:rPr>
            </w:pPr>
            <w:r w:rsidRPr="00525C4F">
              <w:rPr>
                <w:rFonts w:ascii="Arial" w:eastAsia="Arial" w:hAnsi="Arial"/>
                <w:color w:val="000000"/>
              </w:rPr>
              <w:t>a</w:t>
            </w:r>
            <w:r w:rsidR="00A406AE" w:rsidRPr="00525C4F">
              <w:rPr>
                <w:rFonts w:ascii="Arial" w:eastAsia="Arial" w:hAnsi="Arial"/>
                <w:color w:val="000000"/>
              </w:rPr>
              <w:t>b 3 Folge</w:t>
            </w:r>
            <w:r w:rsidR="00304E13" w:rsidRPr="00525C4F">
              <w:rPr>
                <w:rFonts w:ascii="Arial" w:eastAsia="Arial" w:hAnsi="Arial"/>
                <w:color w:val="000000"/>
              </w:rPr>
              <w:t>fällen mit klarem Bezug zu Index</w:t>
            </w:r>
            <w:r w:rsidR="00A406AE" w:rsidRPr="00525C4F">
              <w:rPr>
                <w:rFonts w:ascii="Arial" w:eastAsia="Arial" w:hAnsi="Arial"/>
                <w:color w:val="000000"/>
              </w:rPr>
              <w:t>fall</w:t>
            </w:r>
            <w:r w:rsidR="00704D16" w:rsidRPr="00525C4F">
              <w:rPr>
                <w:rFonts w:ascii="Arial" w:eastAsia="Arial" w:hAnsi="Arial"/>
                <w:color w:val="000000"/>
              </w:rPr>
              <w:t xml:space="preserve"> </w:t>
            </w:r>
            <w:r w:rsidR="00704D16" w:rsidRPr="0028337D">
              <w:rPr>
                <w:rFonts w:ascii="Arial" w:eastAsia="Arial" w:hAnsi="Arial"/>
                <w:color w:val="000000"/>
                <w:u w:val="single"/>
              </w:rPr>
              <w:t>muss</w:t>
            </w:r>
            <w:r w:rsidR="00BF1421" w:rsidRPr="00525C4F">
              <w:rPr>
                <w:rFonts w:ascii="Arial" w:eastAsia="Arial" w:hAnsi="Arial"/>
                <w:color w:val="000000"/>
              </w:rPr>
              <w:t xml:space="preserve"> </w:t>
            </w:r>
            <w:r w:rsidR="000F7A1E" w:rsidRPr="00525C4F">
              <w:rPr>
                <w:rFonts w:ascii="Arial" w:eastAsia="Arial" w:hAnsi="Arial"/>
                <w:color w:val="000000"/>
              </w:rPr>
              <w:t>d</w:t>
            </w:r>
            <w:r w:rsidR="00741A01" w:rsidRPr="00525C4F">
              <w:rPr>
                <w:rFonts w:ascii="Arial" w:eastAsia="Arial" w:hAnsi="Arial"/>
                <w:color w:val="000000"/>
              </w:rPr>
              <w:t>ie Kinderkohorte prinzipiell</w:t>
            </w:r>
            <w:r w:rsidR="00304E13" w:rsidRPr="00525C4F">
              <w:rPr>
                <w:rFonts w:ascii="Arial" w:eastAsia="Arial" w:hAnsi="Arial"/>
                <w:color w:val="000000"/>
              </w:rPr>
              <w:t xml:space="preserve"> für 10 Tage</w:t>
            </w:r>
            <w:r w:rsidR="00741A01" w:rsidRPr="00525C4F">
              <w:rPr>
                <w:rFonts w:ascii="Arial" w:eastAsia="Arial" w:hAnsi="Arial"/>
                <w:color w:val="000000"/>
              </w:rPr>
              <w:t xml:space="preserve"> in </w:t>
            </w:r>
            <w:r w:rsidR="009B61CC" w:rsidRPr="00525C4F">
              <w:rPr>
                <w:rFonts w:ascii="Arial" w:eastAsia="Arial" w:hAnsi="Arial"/>
                <w:color w:val="000000"/>
              </w:rPr>
              <w:t xml:space="preserve">häusliche </w:t>
            </w:r>
            <w:r w:rsidR="00741A01" w:rsidRPr="00525C4F">
              <w:rPr>
                <w:rFonts w:ascii="Arial" w:eastAsia="Arial" w:hAnsi="Arial"/>
                <w:color w:val="000000"/>
              </w:rPr>
              <w:t>Quarantäne</w:t>
            </w:r>
            <w:r w:rsidR="000F7A1E" w:rsidRPr="00525C4F">
              <w:rPr>
                <w:rFonts w:ascii="Arial" w:eastAsia="Arial" w:hAnsi="Arial"/>
                <w:color w:val="000000"/>
              </w:rPr>
              <w:t xml:space="preserve"> gehen</w:t>
            </w:r>
            <w:r w:rsidR="00304E13" w:rsidRPr="00525C4F">
              <w:rPr>
                <w:rFonts w:ascii="Arial" w:eastAsia="Arial" w:hAnsi="Arial"/>
                <w:color w:val="000000"/>
              </w:rPr>
              <w:t>;</w:t>
            </w:r>
            <w:r w:rsidR="009B61CC" w:rsidRPr="00525C4F">
              <w:rPr>
                <w:rFonts w:ascii="Arial" w:eastAsia="Arial" w:hAnsi="Arial"/>
                <w:color w:val="000000"/>
              </w:rPr>
              <w:t xml:space="preserve"> Freitestung</w:t>
            </w:r>
            <w:r w:rsidR="00304E13" w:rsidRPr="00525C4F">
              <w:rPr>
                <w:rFonts w:ascii="Arial" w:eastAsia="Arial" w:hAnsi="Arial"/>
                <w:color w:val="000000"/>
              </w:rPr>
              <w:t xml:space="preserve"> </w:t>
            </w:r>
            <w:r w:rsidR="00F26C63" w:rsidRPr="00525C4F">
              <w:rPr>
                <w:rFonts w:ascii="Arial" w:eastAsia="Arial" w:hAnsi="Arial"/>
                <w:color w:val="000000"/>
              </w:rPr>
              <w:t>nach 7 Tagen mittels Ag-Test</w:t>
            </w:r>
            <w:r w:rsidR="006300F5" w:rsidRPr="00525C4F">
              <w:rPr>
                <w:rFonts w:ascii="Arial" w:eastAsia="Arial" w:hAnsi="Arial"/>
                <w:color w:val="000000"/>
              </w:rPr>
              <w:t xml:space="preserve"> (PEI-gelistet)</w:t>
            </w:r>
            <w:r w:rsidR="009B61CC" w:rsidRPr="00525C4F">
              <w:rPr>
                <w:rFonts w:ascii="Arial" w:eastAsia="Arial" w:hAnsi="Arial"/>
                <w:color w:val="000000"/>
              </w:rPr>
              <w:t xml:space="preserve"> möglich</w:t>
            </w:r>
            <w:r w:rsidR="00741A01" w:rsidRPr="00525C4F">
              <w:rPr>
                <w:rFonts w:ascii="Arial" w:eastAsia="Arial" w:hAnsi="Arial"/>
                <w:color w:val="000000"/>
              </w:rPr>
              <w:t>.</w:t>
            </w:r>
          </w:p>
          <w:p w14:paraId="43C989B3" w14:textId="77777777" w:rsidR="003D1F03" w:rsidRDefault="003D1F03" w:rsidP="00F46081">
            <w:pPr>
              <w:pStyle w:val="NurText"/>
              <w:jc w:val="both"/>
              <w:rPr>
                <w:rFonts w:eastAsiaTheme="minorHAnsi" w:cs="Arial"/>
                <w:sz w:val="20"/>
                <w:szCs w:val="20"/>
                <w:u w:val="single"/>
              </w:rPr>
            </w:pPr>
          </w:p>
          <w:p w14:paraId="18139138" w14:textId="77777777" w:rsidR="003D1F03" w:rsidRDefault="003D1F03" w:rsidP="00F46081">
            <w:pPr>
              <w:pStyle w:val="NurText"/>
              <w:jc w:val="both"/>
              <w:rPr>
                <w:rFonts w:eastAsiaTheme="minorHAnsi" w:cs="Arial"/>
                <w:sz w:val="20"/>
                <w:szCs w:val="20"/>
                <w:u w:val="single"/>
              </w:rPr>
            </w:pPr>
          </w:p>
          <w:p w14:paraId="1B5EC153" w14:textId="77777777" w:rsidR="003D1F03" w:rsidRDefault="003D1F03" w:rsidP="00F46081">
            <w:pPr>
              <w:pStyle w:val="NurText"/>
              <w:jc w:val="both"/>
              <w:rPr>
                <w:rFonts w:eastAsiaTheme="minorHAnsi" w:cs="Arial"/>
                <w:sz w:val="20"/>
                <w:szCs w:val="20"/>
                <w:u w:val="single"/>
              </w:rPr>
            </w:pPr>
          </w:p>
          <w:p w14:paraId="23D8FE6F" w14:textId="77777777" w:rsidR="003D1F03" w:rsidRDefault="003D1F03" w:rsidP="00F46081">
            <w:pPr>
              <w:pStyle w:val="NurText"/>
              <w:jc w:val="both"/>
              <w:rPr>
                <w:rFonts w:eastAsiaTheme="minorHAnsi" w:cs="Arial"/>
                <w:sz w:val="20"/>
                <w:szCs w:val="20"/>
                <w:u w:val="single"/>
              </w:rPr>
            </w:pPr>
          </w:p>
          <w:p w14:paraId="2A7397DA" w14:textId="77777777" w:rsidR="003D1F03" w:rsidRDefault="003D1F03" w:rsidP="00F46081">
            <w:pPr>
              <w:pStyle w:val="NurText"/>
              <w:jc w:val="both"/>
              <w:rPr>
                <w:rFonts w:eastAsiaTheme="minorHAnsi" w:cs="Arial"/>
                <w:sz w:val="20"/>
                <w:szCs w:val="20"/>
                <w:u w:val="single"/>
              </w:rPr>
            </w:pPr>
          </w:p>
          <w:p w14:paraId="101390A3" w14:textId="77777777" w:rsidR="003D1F03" w:rsidRDefault="003D1F03" w:rsidP="00F46081">
            <w:pPr>
              <w:pStyle w:val="NurText"/>
              <w:jc w:val="both"/>
              <w:rPr>
                <w:rFonts w:eastAsiaTheme="minorHAnsi" w:cs="Arial"/>
                <w:sz w:val="20"/>
                <w:szCs w:val="20"/>
                <w:u w:val="single"/>
              </w:rPr>
            </w:pPr>
          </w:p>
          <w:p w14:paraId="1E37945D" w14:textId="2F955CBD" w:rsidR="00913E9B" w:rsidRPr="00C14210" w:rsidRDefault="00627D04" w:rsidP="00F46081">
            <w:pPr>
              <w:pStyle w:val="NurText"/>
              <w:jc w:val="both"/>
              <w:rPr>
                <w:rFonts w:cs="Arial"/>
                <w:color w:val="0D0D0D"/>
                <w:sz w:val="20"/>
                <w:szCs w:val="20"/>
              </w:rPr>
            </w:pPr>
            <w:r w:rsidRPr="00C14210">
              <w:rPr>
                <w:rFonts w:eastAsiaTheme="minorHAnsi" w:cs="Arial"/>
                <w:sz w:val="20"/>
                <w:szCs w:val="20"/>
                <w:u w:val="single"/>
              </w:rPr>
              <w:t>Allg. Information:</w:t>
            </w:r>
            <w:r w:rsidRPr="00C14210">
              <w:rPr>
                <w:rFonts w:cs="Arial"/>
                <w:color w:val="0D0D0D"/>
                <w:sz w:val="20"/>
                <w:szCs w:val="20"/>
              </w:rPr>
              <w:t xml:space="preserve"> </w:t>
            </w:r>
          </w:p>
          <w:p w14:paraId="554384A2" w14:textId="77777777" w:rsidR="00F50B4A" w:rsidRPr="00C14210" w:rsidRDefault="00F50B4A" w:rsidP="00F46081">
            <w:pPr>
              <w:pStyle w:val="NurText"/>
              <w:jc w:val="both"/>
              <w:rPr>
                <w:sz w:val="20"/>
                <w:szCs w:val="20"/>
              </w:rPr>
            </w:pPr>
            <w:r w:rsidRPr="00C14210">
              <w:rPr>
                <w:rFonts w:eastAsiaTheme="minorHAnsi" w:cs="Arial"/>
                <w:color w:val="0D0D0D"/>
                <w:sz w:val="20"/>
                <w:szCs w:val="20"/>
              </w:rPr>
              <w:t>Genesene</w:t>
            </w:r>
            <w:r w:rsidR="002D5D20" w:rsidRPr="00C14210">
              <w:rPr>
                <w:rFonts w:eastAsiaTheme="minorHAnsi" w:cs="Arial"/>
                <w:color w:val="0D0D0D"/>
                <w:sz w:val="20"/>
                <w:szCs w:val="20"/>
              </w:rPr>
              <w:t>/Geimpfte</w:t>
            </w:r>
            <w:r w:rsidRPr="00C14210">
              <w:rPr>
                <w:rFonts w:eastAsiaTheme="minorHAnsi" w:cs="Arial"/>
                <w:color w:val="0D0D0D"/>
                <w:sz w:val="20"/>
                <w:szCs w:val="20"/>
              </w:rPr>
              <w:t xml:space="preserve"> asymptomatische Kontaktpersonen sind von Testpflichten und Quarantänemaßnahmen ausgeschlossen. </w:t>
            </w:r>
          </w:p>
          <w:p w14:paraId="1A441452" w14:textId="77777777" w:rsidR="0028337D" w:rsidRDefault="00627D04" w:rsidP="00F46081">
            <w:pPr>
              <w:spacing w:after="180"/>
              <w:jc w:val="both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C14210">
              <w:rPr>
                <w:rFonts w:ascii="Arial" w:hAnsi="Arial" w:cs="Arial"/>
                <w:color w:val="0D0D0D"/>
                <w:sz w:val="20"/>
                <w:szCs w:val="20"/>
              </w:rPr>
              <w:t>Der erste Tag der Beobachtung in der Kohorte beginnt nach dem Tag des l</w:t>
            </w:r>
            <w:r w:rsidR="00734519" w:rsidRPr="00C14210">
              <w:rPr>
                <w:rFonts w:ascii="Arial" w:hAnsi="Arial" w:cs="Arial"/>
                <w:color w:val="0D0D0D"/>
                <w:sz w:val="20"/>
                <w:szCs w:val="20"/>
              </w:rPr>
              <w:t>etzten Kontaktes zum Indexfall.</w:t>
            </w:r>
            <w:r w:rsidR="00094E79" w:rsidRPr="00C14210">
              <w:rPr>
                <w:rFonts w:ascii="Arial" w:hAnsi="Arial" w:cs="Arial"/>
                <w:color w:val="0D0D0D"/>
                <w:sz w:val="20"/>
                <w:szCs w:val="20"/>
              </w:rPr>
              <w:t xml:space="preserve"> </w:t>
            </w:r>
            <w:r w:rsidR="009E208D" w:rsidRPr="00C14210">
              <w:rPr>
                <w:rFonts w:ascii="Arial" w:hAnsi="Arial" w:cs="Arial"/>
                <w:color w:val="0D0D0D"/>
                <w:sz w:val="20"/>
                <w:szCs w:val="20"/>
              </w:rPr>
              <w:t>D</w:t>
            </w:r>
            <w:r w:rsidRPr="00C14210">
              <w:rPr>
                <w:rFonts w:ascii="Arial" w:hAnsi="Arial" w:cs="Arial"/>
                <w:color w:val="0D0D0D"/>
                <w:sz w:val="20"/>
                <w:szCs w:val="20"/>
              </w:rPr>
              <w:t xml:space="preserve">ie Symptomkontrolle </w:t>
            </w:r>
            <w:r w:rsidR="008A1045" w:rsidRPr="00C14210">
              <w:rPr>
                <w:rFonts w:ascii="Arial" w:hAnsi="Arial" w:cs="Arial"/>
                <w:color w:val="0D0D0D"/>
                <w:sz w:val="20"/>
                <w:szCs w:val="20"/>
              </w:rPr>
              <w:t xml:space="preserve">ist </w:t>
            </w:r>
            <w:r w:rsidRPr="00C14210">
              <w:rPr>
                <w:rFonts w:ascii="Arial" w:hAnsi="Arial" w:cs="Arial"/>
                <w:color w:val="0D0D0D"/>
                <w:sz w:val="20"/>
                <w:szCs w:val="20"/>
              </w:rPr>
              <w:t xml:space="preserve">bei allen </w:t>
            </w:r>
          </w:p>
          <w:p w14:paraId="40CC3C9F" w14:textId="77777777" w:rsidR="0028337D" w:rsidRDefault="00627D04" w:rsidP="00F46081">
            <w:pPr>
              <w:spacing w:after="180"/>
              <w:jc w:val="both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C14210">
              <w:rPr>
                <w:rFonts w:ascii="Arial" w:hAnsi="Arial" w:cs="Arial"/>
                <w:color w:val="0D0D0D"/>
                <w:sz w:val="20"/>
                <w:szCs w:val="20"/>
              </w:rPr>
              <w:t>Kontaktpersonen (auch geimpft, genesen) bis zum Tag 14 nach letztem Kon</w:t>
            </w:r>
            <w:r w:rsidR="00734519" w:rsidRPr="00C14210">
              <w:rPr>
                <w:rFonts w:ascii="Arial" w:hAnsi="Arial" w:cs="Arial"/>
                <w:color w:val="0D0D0D"/>
                <w:sz w:val="20"/>
                <w:szCs w:val="20"/>
              </w:rPr>
              <w:t>takt fortzuführen.</w:t>
            </w:r>
            <w:r w:rsidR="00094E79" w:rsidRPr="00C14210">
              <w:rPr>
                <w:rFonts w:ascii="Arial" w:hAnsi="Arial" w:cs="Arial"/>
                <w:color w:val="0D0D0D"/>
                <w:sz w:val="20"/>
                <w:szCs w:val="20"/>
              </w:rPr>
              <w:t xml:space="preserve"> </w:t>
            </w:r>
            <w:r w:rsidR="00BF1421">
              <w:rPr>
                <w:rFonts w:ascii="Arial" w:hAnsi="Arial" w:cs="Arial"/>
                <w:color w:val="0D0D0D"/>
                <w:sz w:val="20"/>
                <w:szCs w:val="20"/>
              </w:rPr>
              <w:t xml:space="preserve">Symptome müssen mittels PCR abgeklärt werden. </w:t>
            </w:r>
          </w:p>
          <w:p w14:paraId="763E6764" w14:textId="77777777" w:rsidR="0028337D" w:rsidRDefault="00734519" w:rsidP="0028337D">
            <w:pPr>
              <w:jc w:val="both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  <w:r w:rsidRPr="00C14210">
              <w:rPr>
                <w:rFonts w:ascii="Arial" w:hAnsi="Arial" w:cs="Arial"/>
                <w:color w:val="0D0D0D"/>
                <w:sz w:val="20"/>
                <w:szCs w:val="20"/>
              </w:rPr>
              <w:t xml:space="preserve">Die Freitestung mittels Ag-Test </w:t>
            </w:r>
            <w:r w:rsidR="006300F5">
              <w:rPr>
                <w:rFonts w:ascii="Arial" w:hAnsi="Arial" w:cs="Arial"/>
                <w:color w:val="0D0D0D"/>
                <w:sz w:val="20"/>
                <w:szCs w:val="20"/>
              </w:rPr>
              <w:t xml:space="preserve">(PEI-gelistet) </w:t>
            </w:r>
            <w:r w:rsidRPr="00C14210">
              <w:rPr>
                <w:rFonts w:ascii="Arial" w:hAnsi="Arial" w:cs="Arial"/>
                <w:color w:val="0D0D0D"/>
                <w:sz w:val="20"/>
                <w:szCs w:val="20"/>
              </w:rPr>
              <w:t xml:space="preserve">ist auch als Selbsttest </w:t>
            </w:r>
            <w:r w:rsidR="0077001D">
              <w:rPr>
                <w:rFonts w:ascii="Arial" w:hAnsi="Arial" w:cs="Arial"/>
                <w:color w:val="0D0D0D"/>
                <w:sz w:val="20"/>
                <w:szCs w:val="20"/>
              </w:rPr>
              <w:t xml:space="preserve">mit Selbsterklärung </w:t>
            </w:r>
            <w:r w:rsidRPr="00C14210">
              <w:rPr>
                <w:rFonts w:ascii="Arial" w:hAnsi="Arial" w:cs="Arial"/>
                <w:color w:val="0D0D0D"/>
                <w:sz w:val="20"/>
                <w:szCs w:val="20"/>
              </w:rPr>
              <w:t xml:space="preserve">möglich. </w:t>
            </w:r>
            <w:r w:rsidR="0029193F" w:rsidRPr="00C14210">
              <w:rPr>
                <w:rFonts w:ascii="Arial" w:hAnsi="Arial" w:cs="Arial"/>
                <w:b/>
                <w:color w:val="0D0D0D"/>
                <w:sz w:val="20"/>
                <w:szCs w:val="20"/>
              </w:rPr>
              <w:t xml:space="preserve">Die reale Einschätzung des Infektionsrisikos </w:t>
            </w:r>
          </w:p>
          <w:p w14:paraId="53115A0B" w14:textId="77777777" w:rsidR="0023296A" w:rsidRPr="0028337D" w:rsidRDefault="0029193F" w:rsidP="0028337D">
            <w:pPr>
              <w:jc w:val="both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  <w:r w:rsidRPr="00C14210">
              <w:rPr>
                <w:rFonts w:ascii="Arial" w:hAnsi="Arial" w:cs="Arial"/>
                <w:b/>
                <w:color w:val="0D0D0D"/>
                <w:sz w:val="20"/>
                <w:szCs w:val="20"/>
              </w:rPr>
              <w:t>sowie sich ggf. daraus ergebende abweichende Maßnahmen obliegen nach IfSG</w:t>
            </w:r>
            <w:r w:rsidR="00F46081" w:rsidRPr="00C14210">
              <w:rPr>
                <w:rFonts w:ascii="Arial" w:hAnsi="Arial" w:cs="Arial"/>
                <w:b/>
                <w:color w:val="0D0D0D"/>
                <w:sz w:val="20"/>
                <w:szCs w:val="20"/>
              </w:rPr>
              <w:t xml:space="preserve"> dem zuständigen Gesundheitsamt.</w:t>
            </w:r>
          </w:p>
        </w:tc>
      </w:tr>
    </w:tbl>
    <w:p w14:paraId="11AA7A20" w14:textId="77777777" w:rsidR="00555D69" w:rsidRDefault="00555D69" w:rsidP="0028337D">
      <w:pPr>
        <w:pBdr>
          <w:bottom w:val="single" w:sz="4" w:space="1" w:color="auto"/>
          <w:right w:val="single" w:sz="4" w:space="4" w:color="auto"/>
        </w:pBdr>
        <w:tabs>
          <w:tab w:val="left" w:pos="935"/>
        </w:tabs>
        <w:ind w:right="-620"/>
      </w:pPr>
    </w:p>
    <w:sectPr w:rsidR="00555D69" w:rsidSect="00525C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167F06" w14:textId="77777777" w:rsidR="00C11116" w:rsidRDefault="00C11116" w:rsidP="00B35F25">
      <w:pPr>
        <w:spacing w:after="0" w:line="240" w:lineRule="auto"/>
      </w:pPr>
      <w:r>
        <w:separator/>
      </w:r>
    </w:p>
  </w:endnote>
  <w:endnote w:type="continuationSeparator" w:id="0">
    <w:p w14:paraId="0861065E" w14:textId="77777777" w:rsidR="00C11116" w:rsidRDefault="00C11116" w:rsidP="00B35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calaSansPro">
    <w:altName w:val="ScalaSans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F9371" w14:textId="77777777" w:rsidR="00632EC2" w:rsidRDefault="00632EC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E8BD73" w14:textId="6B9DC52E" w:rsidR="00BF1421" w:rsidRDefault="00525C4F" w:rsidP="00525C4F">
    <w:pPr>
      <w:pStyle w:val="Fuzeile"/>
      <w:tabs>
        <w:tab w:val="left" w:pos="2115"/>
      </w:tabs>
    </w:pPr>
    <w:r>
      <w:tab/>
    </w:r>
    <w:r w:rsidRPr="00C14210">
      <w:rPr>
        <w:rStyle w:val="Funotenzeichen"/>
      </w:rPr>
      <w:footnoteRef/>
    </w:r>
    <w:r w:rsidRPr="00C14210">
      <w:t xml:space="preserve"> Selbsttest</w:t>
    </w:r>
    <w:r>
      <w:t xml:space="preserve"> (PEI-gelistet) </w:t>
    </w:r>
    <w:r w:rsidRPr="00C14210">
      <w:t>in der Häuslichkeit mit Selbsterklärung oder Schnelltest im Testzentrum</w:t>
    </w:r>
    <w:r>
      <w:t xml:space="preserve"> </w:t>
    </w:r>
    <w:r>
      <w:tab/>
    </w:r>
    <w:r>
      <w:tab/>
    </w:r>
    <w:r>
      <w:tab/>
    </w:r>
    <w:r>
      <w:tab/>
    </w:r>
    <w:r w:rsidRPr="00C14210">
      <w:t>Stand</w:t>
    </w:r>
    <w:r>
      <w:t>: 1</w:t>
    </w:r>
    <w:r w:rsidR="00632EC2">
      <w:t>5</w:t>
    </w:r>
    <w:r>
      <w:t>.12.</w:t>
    </w:r>
    <w:r w:rsidR="00E96F2C">
      <w:t>20</w:t>
    </w:r>
    <w:r>
      <w:t>21</w:t>
    </w:r>
    <w:r w:rsidRPr="00C14210">
      <w:tab/>
    </w: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2F449" w14:textId="77777777" w:rsidR="00632EC2" w:rsidRDefault="00632EC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0354B9" w14:textId="77777777" w:rsidR="00C11116" w:rsidRDefault="00C11116" w:rsidP="00B35F25">
      <w:pPr>
        <w:spacing w:after="0" w:line="240" w:lineRule="auto"/>
      </w:pPr>
      <w:r>
        <w:separator/>
      </w:r>
    </w:p>
  </w:footnote>
  <w:footnote w:type="continuationSeparator" w:id="0">
    <w:p w14:paraId="5BB47CDB" w14:textId="77777777" w:rsidR="00C11116" w:rsidRDefault="00C11116" w:rsidP="00B35F25">
      <w:pPr>
        <w:spacing w:after="0" w:line="240" w:lineRule="auto"/>
      </w:pPr>
      <w:r>
        <w:continuationSeparator/>
      </w:r>
    </w:p>
  </w:footnote>
  <w:footnote w:id="1">
    <w:p w14:paraId="340BF700" w14:textId="77777777" w:rsidR="00BF1421" w:rsidRDefault="00BF1421" w:rsidP="00BF1421">
      <w:pPr>
        <w:pStyle w:val="Fuzeile"/>
        <w:jc w:val="right"/>
      </w:pPr>
      <w:r w:rsidRPr="00C14210">
        <w:tab/>
      </w:r>
      <w:r w:rsidRPr="00C14210">
        <w:tab/>
      </w:r>
      <w:r w:rsidRPr="00C14210">
        <w:tab/>
      </w:r>
      <w:r w:rsidRPr="00C14210">
        <w:tab/>
      </w:r>
      <w:r w:rsidRPr="00C14210">
        <w:tab/>
      </w:r>
      <w:r w:rsidRPr="00C14210">
        <w:tab/>
      </w:r>
      <w:r w:rsidRPr="00C14210"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8B110" w14:textId="77777777" w:rsidR="00632EC2" w:rsidRDefault="00632EC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213BB" w14:textId="77777777" w:rsidR="00BF1421" w:rsidRDefault="00BF1421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6217276C" wp14:editId="2D505139">
          <wp:simplePos x="0" y="0"/>
          <wp:positionH relativeFrom="column">
            <wp:posOffset>8871585</wp:posOffset>
          </wp:positionH>
          <wp:positionV relativeFrom="paragraph">
            <wp:posOffset>-230505</wp:posOffset>
          </wp:positionV>
          <wp:extent cx="914400" cy="45720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V ne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7D48BC43" wp14:editId="6A6B5E42">
          <wp:simplePos x="0" y="0"/>
          <wp:positionH relativeFrom="column">
            <wp:posOffset>0</wp:posOffset>
          </wp:positionH>
          <wp:positionV relativeFrom="paragraph">
            <wp:posOffset>-230505</wp:posOffset>
          </wp:positionV>
          <wp:extent cx="749935" cy="225425"/>
          <wp:effectExtent l="0" t="0" r="0" b="317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935" cy="225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6DCA2" w14:textId="77777777" w:rsidR="00632EC2" w:rsidRDefault="00632EC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FC3047"/>
    <w:multiLevelType w:val="hybridMultilevel"/>
    <w:tmpl w:val="D54EB284"/>
    <w:lvl w:ilvl="0" w:tplc="BB485B1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87DA8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9026C1"/>
    <w:multiLevelType w:val="hybridMultilevel"/>
    <w:tmpl w:val="0B60B2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957607"/>
    <w:multiLevelType w:val="hybridMultilevel"/>
    <w:tmpl w:val="966E6A0A"/>
    <w:lvl w:ilvl="0" w:tplc="0038B9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011953"/>
    <w:multiLevelType w:val="hybridMultilevel"/>
    <w:tmpl w:val="88188C08"/>
    <w:lvl w:ilvl="0" w:tplc="04070005">
      <w:start w:val="1"/>
      <w:numFmt w:val="bullet"/>
      <w:lvlText w:val=""/>
      <w:lvlJc w:val="left"/>
      <w:pPr>
        <w:ind w:left="72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F25"/>
    <w:rsid w:val="000037EF"/>
    <w:rsid w:val="000505BC"/>
    <w:rsid w:val="00056CBA"/>
    <w:rsid w:val="00086DA7"/>
    <w:rsid w:val="00094E79"/>
    <w:rsid w:val="000C3AD1"/>
    <w:rsid w:val="000E24A5"/>
    <w:rsid w:val="000F7A1E"/>
    <w:rsid w:val="0010726B"/>
    <w:rsid w:val="00117A04"/>
    <w:rsid w:val="00124C2A"/>
    <w:rsid w:val="00152C4D"/>
    <w:rsid w:val="001639CB"/>
    <w:rsid w:val="00165DD9"/>
    <w:rsid w:val="001C1F63"/>
    <w:rsid w:val="001C2850"/>
    <w:rsid w:val="001D0870"/>
    <w:rsid w:val="001E245B"/>
    <w:rsid w:val="002057E1"/>
    <w:rsid w:val="0021039C"/>
    <w:rsid w:val="0023296A"/>
    <w:rsid w:val="0023339B"/>
    <w:rsid w:val="00253BDD"/>
    <w:rsid w:val="0028337D"/>
    <w:rsid w:val="0029193F"/>
    <w:rsid w:val="002A7A51"/>
    <w:rsid w:val="002B4438"/>
    <w:rsid w:val="002D5639"/>
    <w:rsid w:val="002D5D20"/>
    <w:rsid w:val="002F37AA"/>
    <w:rsid w:val="00304E13"/>
    <w:rsid w:val="0032480A"/>
    <w:rsid w:val="00330AE5"/>
    <w:rsid w:val="003347FC"/>
    <w:rsid w:val="00377B76"/>
    <w:rsid w:val="00385972"/>
    <w:rsid w:val="0038670C"/>
    <w:rsid w:val="00392F7C"/>
    <w:rsid w:val="003A7DAA"/>
    <w:rsid w:val="003D1F03"/>
    <w:rsid w:val="0041555C"/>
    <w:rsid w:val="00431226"/>
    <w:rsid w:val="00464E07"/>
    <w:rsid w:val="00492650"/>
    <w:rsid w:val="004A2DF6"/>
    <w:rsid w:val="004A5A73"/>
    <w:rsid w:val="004C711D"/>
    <w:rsid w:val="004E2CD3"/>
    <w:rsid w:val="00500725"/>
    <w:rsid w:val="00525C4F"/>
    <w:rsid w:val="00555D69"/>
    <w:rsid w:val="005826A4"/>
    <w:rsid w:val="005D6191"/>
    <w:rsid w:val="005D61BD"/>
    <w:rsid w:val="005E48A1"/>
    <w:rsid w:val="00627D04"/>
    <w:rsid w:val="006300F5"/>
    <w:rsid w:val="00632EC2"/>
    <w:rsid w:val="00666C3D"/>
    <w:rsid w:val="00671647"/>
    <w:rsid w:val="00684107"/>
    <w:rsid w:val="006A7E2E"/>
    <w:rsid w:val="006B05A1"/>
    <w:rsid w:val="006C3BDD"/>
    <w:rsid w:val="006E74BE"/>
    <w:rsid w:val="00704D16"/>
    <w:rsid w:val="00734519"/>
    <w:rsid w:val="00741A01"/>
    <w:rsid w:val="0077001D"/>
    <w:rsid w:val="00785E63"/>
    <w:rsid w:val="00790E2C"/>
    <w:rsid w:val="007E1A43"/>
    <w:rsid w:val="00800485"/>
    <w:rsid w:val="00864938"/>
    <w:rsid w:val="008745F3"/>
    <w:rsid w:val="00887BEF"/>
    <w:rsid w:val="00896AAB"/>
    <w:rsid w:val="008A1045"/>
    <w:rsid w:val="008B0086"/>
    <w:rsid w:val="008C2F74"/>
    <w:rsid w:val="00901A98"/>
    <w:rsid w:val="00913E9B"/>
    <w:rsid w:val="0095549C"/>
    <w:rsid w:val="00975876"/>
    <w:rsid w:val="00977036"/>
    <w:rsid w:val="009A3E09"/>
    <w:rsid w:val="009B61CC"/>
    <w:rsid w:val="009B75F5"/>
    <w:rsid w:val="009D40EB"/>
    <w:rsid w:val="009E208D"/>
    <w:rsid w:val="00A11000"/>
    <w:rsid w:val="00A31402"/>
    <w:rsid w:val="00A406AE"/>
    <w:rsid w:val="00A55226"/>
    <w:rsid w:val="00A60263"/>
    <w:rsid w:val="00A72598"/>
    <w:rsid w:val="00A83F5B"/>
    <w:rsid w:val="00AA2415"/>
    <w:rsid w:val="00AA6D2B"/>
    <w:rsid w:val="00AD3792"/>
    <w:rsid w:val="00AE6577"/>
    <w:rsid w:val="00B35F25"/>
    <w:rsid w:val="00B42F27"/>
    <w:rsid w:val="00B46D03"/>
    <w:rsid w:val="00B63A52"/>
    <w:rsid w:val="00B9557D"/>
    <w:rsid w:val="00B96A68"/>
    <w:rsid w:val="00BC40C1"/>
    <w:rsid w:val="00BE0E97"/>
    <w:rsid w:val="00BF1421"/>
    <w:rsid w:val="00C05173"/>
    <w:rsid w:val="00C11116"/>
    <w:rsid w:val="00C125E6"/>
    <w:rsid w:val="00C14210"/>
    <w:rsid w:val="00C43EB9"/>
    <w:rsid w:val="00C6309E"/>
    <w:rsid w:val="00CA77AE"/>
    <w:rsid w:val="00CC760F"/>
    <w:rsid w:val="00D0143F"/>
    <w:rsid w:val="00D17C24"/>
    <w:rsid w:val="00D35362"/>
    <w:rsid w:val="00D816CC"/>
    <w:rsid w:val="00D92507"/>
    <w:rsid w:val="00DB4A91"/>
    <w:rsid w:val="00DC3DF5"/>
    <w:rsid w:val="00DC5E79"/>
    <w:rsid w:val="00E16580"/>
    <w:rsid w:val="00E56355"/>
    <w:rsid w:val="00E56ECF"/>
    <w:rsid w:val="00E731AA"/>
    <w:rsid w:val="00E96F2C"/>
    <w:rsid w:val="00EA2979"/>
    <w:rsid w:val="00EA2BBB"/>
    <w:rsid w:val="00EA5AC9"/>
    <w:rsid w:val="00F0112A"/>
    <w:rsid w:val="00F26C63"/>
    <w:rsid w:val="00F45AAF"/>
    <w:rsid w:val="00F46081"/>
    <w:rsid w:val="00F50B4A"/>
    <w:rsid w:val="00F55413"/>
    <w:rsid w:val="00F854E8"/>
    <w:rsid w:val="00F90880"/>
    <w:rsid w:val="00FA6DB5"/>
    <w:rsid w:val="00FB5C9F"/>
    <w:rsid w:val="00FF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EA599AF"/>
  <w15:chartTrackingRefBased/>
  <w15:docId w15:val="{B7029B54-B307-4E08-8AC2-D1F0A0651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35F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5F25"/>
  </w:style>
  <w:style w:type="paragraph" w:styleId="Fuzeile">
    <w:name w:val="footer"/>
    <w:basedOn w:val="Standard"/>
    <w:link w:val="FuzeileZchn"/>
    <w:uiPriority w:val="99"/>
    <w:unhideWhenUsed/>
    <w:rsid w:val="00B35F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5F25"/>
  </w:style>
  <w:style w:type="table" w:styleId="Tabellenraster">
    <w:name w:val="Table Grid"/>
    <w:basedOn w:val="NormaleTabelle"/>
    <w:uiPriority w:val="39"/>
    <w:rsid w:val="00B35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35F2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4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43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43EB9"/>
    <w:pPr>
      <w:autoSpaceDE w:val="0"/>
      <w:autoSpaceDN w:val="0"/>
      <w:adjustRightInd w:val="0"/>
      <w:spacing w:after="0" w:line="240" w:lineRule="auto"/>
    </w:pPr>
    <w:rPr>
      <w:rFonts w:ascii="ScalaSansPro" w:hAnsi="ScalaSansPro" w:cs="ScalaSansPro"/>
      <w:color w:val="000000"/>
      <w:sz w:val="24"/>
      <w:szCs w:val="24"/>
    </w:rPr>
  </w:style>
  <w:style w:type="character" w:customStyle="1" w:styleId="A0">
    <w:name w:val="A0"/>
    <w:uiPriority w:val="99"/>
    <w:rsid w:val="00C43EB9"/>
    <w:rPr>
      <w:rFonts w:cs="ScalaSansPro"/>
      <w:color w:val="000000"/>
      <w:sz w:val="20"/>
      <w:szCs w:val="20"/>
    </w:rPr>
  </w:style>
  <w:style w:type="paragraph" w:customStyle="1" w:styleId="Pa7">
    <w:name w:val="Pa7"/>
    <w:basedOn w:val="Default"/>
    <w:next w:val="Default"/>
    <w:uiPriority w:val="99"/>
    <w:rsid w:val="00C43EB9"/>
    <w:pPr>
      <w:spacing w:line="24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C43EB9"/>
    <w:rPr>
      <w:rFonts w:cs="ScalaSansPro"/>
      <w:color w:val="000000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D40E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D40E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D40E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D40E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D40EB"/>
    <w:rPr>
      <w:b/>
      <w:bCs/>
      <w:sz w:val="20"/>
      <w:szCs w:val="20"/>
    </w:rPr>
  </w:style>
  <w:style w:type="paragraph" w:styleId="NurText">
    <w:name w:val="Plain Text"/>
    <w:basedOn w:val="Standard"/>
    <w:link w:val="NurTextZchn"/>
    <w:uiPriority w:val="99"/>
    <w:semiHidden/>
    <w:unhideWhenUsed/>
    <w:rsid w:val="00F50B4A"/>
    <w:pPr>
      <w:spacing w:after="0" w:line="240" w:lineRule="auto"/>
    </w:pPr>
    <w:rPr>
      <w:rFonts w:ascii="Arial" w:eastAsia="Times New Roman" w:hAnsi="Arial"/>
      <w:sz w:val="24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50B4A"/>
    <w:rPr>
      <w:rFonts w:ascii="Arial" w:eastAsia="Times New Roman" w:hAnsi="Arial"/>
      <w:sz w:val="24"/>
      <w:szCs w:val="21"/>
    </w:rPr>
  </w:style>
  <w:style w:type="paragraph" w:styleId="Funotentext">
    <w:name w:val="footnote text"/>
    <w:basedOn w:val="Standard"/>
    <w:link w:val="FunotentextZchn"/>
    <w:uiPriority w:val="99"/>
    <w:unhideWhenUsed/>
    <w:rsid w:val="00913E9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913E9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13E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7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D3B60-4D0B-4891-89E5-DDAC194B2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LAGuS</Company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Biertümpel, Michael</dc:creator>
  <cp:keywords/>
  <dc:description/>
  <cp:lastModifiedBy>Thiede,Nils</cp:lastModifiedBy>
  <cp:revision>3</cp:revision>
  <cp:lastPrinted>2021-10-27T07:49:00Z</cp:lastPrinted>
  <dcterms:created xsi:type="dcterms:W3CDTF">2021-12-15T17:04:00Z</dcterms:created>
  <dcterms:modified xsi:type="dcterms:W3CDTF">2021-12-16T08:33:00Z</dcterms:modified>
</cp:coreProperties>
</file>